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CF" w:rsidRDefault="00D842CF" w:rsidP="00D842CF">
      <w:pPr>
        <w:pStyle w:val="Header"/>
        <w:tabs>
          <w:tab w:val="clear" w:pos="4320"/>
          <w:tab w:val="clear" w:pos="8640"/>
        </w:tabs>
        <w:jc w:val="center"/>
        <w:rPr>
          <w:b/>
        </w:rPr>
      </w:pPr>
    </w:p>
    <w:p w:rsidR="00D842CF" w:rsidRDefault="00D842CF" w:rsidP="00D842CF">
      <w:pPr>
        <w:pStyle w:val="Header"/>
        <w:tabs>
          <w:tab w:val="clear" w:pos="4320"/>
          <w:tab w:val="clear" w:pos="8640"/>
        </w:tabs>
        <w:jc w:val="center"/>
        <w:rPr>
          <w:b/>
        </w:rPr>
      </w:pPr>
      <w:r>
        <w:rPr>
          <w:b/>
        </w:rPr>
        <w:t>ARC 362 HISTORY of WESTERN ARCHITECTURE</w:t>
      </w:r>
    </w:p>
    <w:p w:rsidR="00D842CF" w:rsidRDefault="00D842CF" w:rsidP="00D842CF">
      <w:pPr>
        <w:pStyle w:val="Header"/>
        <w:tabs>
          <w:tab w:val="clear" w:pos="4320"/>
          <w:tab w:val="clear" w:pos="8640"/>
        </w:tabs>
        <w:jc w:val="center"/>
        <w:rPr>
          <w:b/>
        </w:rPr>
      </w:pPr>
      <w:r>
        <w:rPr>
          <w:b/>
        </w:rPr>
        <w:t>COURSE SYLLABUS</w:t>
      </w:r>
    </w:p>
    <w:p w:rsidR="00D842CF" w:rsidRDefault="00D842CF" w:rsidP="00D842CF">
      <w:pPr>
        <w:pStyle w:val="Header"/>
        <w:tabs>
          <w:tab w:val="clear" w:pos="4320"/>
          <w:tab w:val="clear" w:pos="8640"/>
        </w:tabs>
        <w:jc w:val="center"/>
        <w:rPr>
          <w:b/>
        </w:rPr>
      </w:pPr>
    </w:p>
    <w:p w:rsidR="00D842CF" w:rsidRPr="009669A6" w:rsidRDefault="00D842CF" w:rsidP="00D842CF">
      <w:pPr>
        <w:pStyle w:val="Header"/>
        <w:tabs>
          <w:tab w:val="clear" w:pos="4320"/>
          <w:tab w:val="clear" w:pos="8640"/>
        </w:tabs>
        <w:rPr>
          <w:b/>
          <w:sz w:val="20"/>
        </w:rPr>
      </w:pPr>
    </w:p>
    <w:p w:rsidR="00D842CF" w:rsidRPr="009669A6" w:rsidRDefault="00D842CF" w:rsidP="00D842CF">
      <w:pPr>
        <w:pStyle w:val="Header"/>
        <w:tabs>
          <w:tab w:val="left" w:pos="2160"/>
        </w:tabs>
        <w:ind w:left="2160" w:hanging="2160"/>
        <w:rPr>
          <w:sz w:val="20"/>
        </w:rPr>
      </w:pPr>
      <w:r w:rsidRPr="009669A6">
        <w:rPr>
          <w:b/>
          <w:sz w:val="20"/>
        </w:rPr>
        <w:t>Instructor:</w:t>
      </w:r>
      <w:r w:rsidRPr="009669A6">
        <w:rPr>
          <w:sz w:val="20"/>
        </w:rPr>
        <w:t xml:space="preserve"> </w:t>
      </w:r>
      <w:r w:rsidRPr="009669A6">
        <w:rPr>
          <w:sz w:val="20"/>
        </w:rPr>
        <w:tab/>
        <w:t xml:space="preserve">Joseph A. Betz, </w:t>
      </w:r>
      <w:r w:rsidR="009C2F4B">
        <w:rPr>
          <w:sz w:val="20"/>
        </w:rPr>
        <w:t>Architect</w:t>
      </w:r>
      <w:r w:rsidRPr="009669A6">
        <w:rPr>
          <w:sz w:val="20"/>
        </w:rPr>
        <w:t xml:space="preserve">, Professor of Architecture </w:t>
      </w:r>
      <w:r w:rsidR="009C2F4B">
        <w:rPr>
          <w:sz w:val="20"/>
        </w:rPr>
        <w:t>&amp; C</w:t>
      </w:r>
      <w:r w:rsidR="00D04951">
        <w:rPr>
          <w:sz w:val="20"/>
        </w:rPr>
        <w:t xml:space="preserve">onstruction </w:t>
      </w:r>
      <w:r w:rsidR="009C2F4B">
        <w:rPr>
          <w:sz w:val="20"/>
        </w:rPr>
        <w:t>M</w:t>
      </w:r>
      <w:r w:rsidR="00D04951">
        <w:rPr>
          <w:sz w:val="20"/>
        </w:rPr>
        <w:t>anagement</w:t>
      </w:r>
      <w:bookmarkStart w:id="0" w:name="_GoBack"/>
      <w:bookmarkEnd w:id="0"/>
    </w:p>
    <w:p w:rsidR="00D842CF" w:rsidRPr="009669A6" w:rsidRDefault="00D842CF" w:rsidP="00D842CF">
      <w:pPr>
        <w:pStyle w:val="Header"/>
        <w:tabs>
          <w:tab w:val="left" w:pos="2160"/>
        </w:tabs>
        <w:ind w:left="2160" w:hanging="2160"/>
        <w:rPr>
          <w:sz w:val="20"/>
        </w:rPr>
      </w:pPr>
      <w:r w:rsidRPr="009669A6">
        <w:rPr>
          <w:b/>
          <w:sz w:val="20"/>
        </w:rPr>
        <w:t>Office Address:</w:t>
      </w:r>
      <w:r w:rsidRPr="009669A6">
        <w:rPr>
          <w:sz w:val="20"/>
        </w:rPr>
        <w:t xml:space="preserve"> </w:t>
      </w:r>
      <w:r w:rsidRPr="009669A6">
        <w:rPr>
          <w:sz w:val="20"/>
        </w:rPr>
        <w:tab/>
      </w:r>
      <w:r w:rsidR="009C2F4B">
        <w:rPr>
          <w:sz w:val="20"/>
        </w:rPr>
        <w:t xml:space="preserve">137B </w:t>
      </w:r>
      <w:r w:rsidRPr="009669A6">
        <w:rPr>
          <w:sz w:val="20"/>
        </w:rPr>
        <w:t xml:space="preserve">Lupton Hall, Farmingdale State College, SUNY, Farmingdale, NY 11735 </w:t>
      </w:r>
    </w:p>
    <w:p w:rsidR="00D842CF" w:rsidRPr="009669A6" w:rsidRDefault="00D842CF" w:rsidP="00D842CF">
      <w:pPr>
        <w:pStyle w:val="Header"/>
        <w:tabs>
          <w:tab w:val="left" w:pos="2160"/>
        </w:tabs>
        <w:ind w:left="2160" w:hanging="2160"/>
        <w:rPr>
          <w:sz w:val="20"/>
        </w:rPr>
      </w:pPr>
      <w:r w:rsidRPr="009669A6">
        <w:rPr>
          <w:b/>
          <w:sz w:val="20"/>
        </w:rPr>
        <w:t>Phone No.:</w:t>
      </w:r>
      <w:r w:rsidRPr="009669A6">
        <w:rPr>
          <w:sz w:val="20"/>
        </w:rPr>
        <w:t xml:space="preserve"> </w:t>
      </w:r>
      <w:r w:rsidRPr="009669A6">
        <w:rPr>
          <w:sz w:val="20"/>
        </w:rPr>
        <w:tab/>
        <w:t xml:space="preserve">College Office: (631) 420-2098, fax. 420-2194 </w:t>
      </w:r>
    </w:p>
    <w:p w:rsidR="00D842CF" w:rsidRPr="009669A6" w:rsidRDefault="00D842CF" w:rsidP="00D842CF">
      <w:pPr>
        <w:pStyle w:val="Header"/>
        <w:tabs>
          <w:tab w:val="left" w:pos="2160"/>
        </w:tabs>
        <w:ind w:left="2160" w:hanging="2160"/>
        <w:rPr>
          <w:sz w:val="20"/>
        </w:rPr>
      </w:pPr>
      <w:r w:rsidRPr="009669A6">
        <w:rPr>
          <w:b/>
          <w:sz w:val="20"/>
        </w:rPr>
        <w:t>E-Mail:</w:t>
      </w:r>
      <w:r w:rsidRPr="009669A6">
        <w:rPr>
          <w:sz w:val="20"/>
        </w:rPr>
        <w:t xml:space="preserve"> </w:t>
      </w:r>
      <w:r w:rsidRPr="009669A6">
        <w:rPr>
          <w:sz w:val="20"/>
        </w:rPr>
        <w:tab/>
        <w:t xml:space="preserve">joseph.betz@farmingdale.edu </w:t>
      </w:r>
    </w:p>
    <w:p w:rsidR="00D842CF" w:rsidRPr="009669A6" w:rsidRDefault="00D842CF" w:rsidP="00D842CF">
      <w:pPr>
        <w:pStyle w:val="Header"/>
        <w:tabs>
          <w:tab w:val="clear" w:pos="4320"/>
          <w:tab w:val="clear" w:pos="8640"/>
          <w:tab w:val="left" w:pos="2160"/>
        </w:tabs>
        <w:ind w:left="2160" w:hanging="2160"/>
        <w:rPr>
          <w:sz w:val="20"/>
        </w:rPr>
      </w:pPr>
      <w:r w:rsidRPr="009669A6">
        <w:rPr>
          <w:b/>
          <w:sz w:val="20"/>
        </w:rPr>
        <w:t>Web Site:</w:t>
      </w:r>
      <w:r w:rsidRPr="009669A6">
        <w:rPr>
          <w:sz w:val="20"/>
        </w:rPr>
        <w:t xml:space="preserve"> </w:t>
      </w:r>
      <w:r w:rsidRPr="009669A6">
        <w:rPr>
          <w:sz w:val="20"/>
        </w:rPr>
        <w:tab/>
        <w:t>www.farmingdale.edu/faculty/joseph-betz</w:t>
      </w:r>
      <w:r w:rsidRPr="009669A6">
        <w:rPr>
          <w:sz w:val="20"/>
        </w:rPr>
        <w:tab/>
      </w:r>
    </w:p>
    <w:p w:rsidR="00D842CF" w:rsidRPr="009669A6" w:rsidRDefault="00D842CF" w:rsidP="00D842CF">
      <w:pPr>
        <w:pStyle w:val="Header"/>
        <w:tabs>
          <w:tab w:val="clear" w:pos="4320"/>
          <w:tab w:val="clear" w:pos="8640"/>
        </w:tabs>
        <w:rPr>
          <w:sz w:val="20"/>
        </w:rPr>
      </w:pPr>
    </w:p>
    <w:p w:rsidR="009669A6" w:rsidRPr="009669A6" w:rsidRDefault="00D842CF" w:rsidP="00D842CF">
      <w:pPr>
        <w:pStyle w:val="Header"/>
        <w:tabs>
          <w:tab w:val="clear" w:pos="4320"/>
          <w:tab w:val="clear" w:pos="8640"/>
          <w:tab w:val="left" w:pos="2160"/>
        </w:tabs>
        <w:ind w:left="2160" w:hanging="2160"/>
        <w:rPr>
          <w:b/>
          <w:sz w:val="20"/>
        </w:rPr>
      </w:pPr>
      <w:r w:rsidRPr="009669A6">
        <w:rPr>
          <w:b/>
          <w:sz w:val="20"/>
        </w:rPr>
        <w:t>General Education:</w:t>
      </w:r>
      <w:r w:rsidRPr="009669A6">
        <w:rPr>
          <w:b/>
          <w:sz w:val="20"/>
        </w:rPr>
        <w:tab/>
      </w:r>
    </w:p>
    <w:p w:rsidR="00D842CF" w:rsidRPr="009669A6" w:rsidRDefault="00D842CF" w:rsidP="009669A6">
      <w:pPr>
        <w:pStyle w:val="NoSpacing"/>
        <w:rPr>
          <w:sz w:val="20"/>
        </w:rPr>
      </w:pPr>
      <w:r w:rsidRPr="009669A6">
        <w:rPr>
          <w:sz w:val="20"/>
        </w:rPr>
        <w:t>This course is a SUNY approved General Education course for Humanities</w:t>
      </w:r>
      <w:r w:rsidR="00464E22">
        <w:rPr>
          <w:sz w:val="20"/>
        </w:rPr>
        <w:t xml:space="preserve">: </w:t>
      </w:r>
      <w:r w:rsidR="0082482B">
        <w:rPr>
          <w:sz w:val="20"/>
        </w:rPr>
        <w:t xml:space="preserve">SUNY Course ID 257759 </w:t>
      </w:r>
      <w:r w:rsidR="00464E22">
        <w:rPr>
          <w:sz w:val="20"/>
        </w:rPr>
        <w:t>(</w:t>
      </w:r>
      <w:r w:rsidRPr="009669A6">
        <w:rPr>
          <w:sz w:val="20"/>
        </w:rPr>
        <w:t xml:space="preserve">See </w:t>
      </w:r>
      <w:hyperlink r:id="rId5" w:history="1">
        <w:r w:rsidRPr="009669A6">
          <w:rPr>
            <w:rStyle w:val="Hyperlink"/>
            <w:sz w:val="20"/>
          </w:rPr>
          <w:t>http://system.suny.edu/academic-affairs/acaproplan/general-education/general-education-dashboards</w:t>
        </w:r>
      </w:hyperlink>
      <w:r w:rsidRPr="009669A6">
        <w:rPr>
          <w:sz w:val="20"/>
        </w:rPr>
        <w:t xml:space="preserve"> for approved </w:t>
      </w:r>
      <w:r w:rsidR="00464E22">
        <w:rPr>
          <w:sz w:val="20"/>
        </w:rPr>
        <w:t xml:space="preserve">list of </w:t>
      </w:r>
      <w:r w:rsidRPr="009669A6">
        <w:rPr>
          <w:sz w:val="20"/>
        </w:rPr>
        <w:t xml:space="preserve">Gen Ed. </w:t>
      </w:r>
      <w:r w:rsidR="00CE478C" w:rsidRPr="009669A6">
        <w:rPr>
          <w:sz w:val="20"/>
        </w:rPr>
        <w:t>Courses on your campus.</w:t>
      </w:r>
      <w:r w:rsidR="00464E22">
        <w:rPr>
          <w:sz w:val="20"/>
        </w:rPr>
        <w:t>)</w:t>
      </w:r>
    </w:p>
    <w:p w:rsidR="00D842CF" w:rsidRPr="009669A6" w:rsidRDefault="00D842CF" w:rsidP="009669A6">
      <w:pPr>
        <w:pStyle w:val="NoSpacing"/>
        <w:rPr>
          <w:sz w:val="20"/>
        </w:rPr>
      </w:pPr>
    </w:p>
    <w:p w:rsidR="009669A6" w:rsidRPr="009669A6" w:rsidRDefault="00D842CF" w:rsidP="009669A6">
      <w:pPr>
        <w:pStyle w:val="NoSpacing"/>
        <w:rPr>
          <w:b/>
          <w:sz w:val="20"/>
        </w:rPr>
      </w:pPr>
      <w:r w:rsidRPr="009669A6">
        <w:rPr>
          <w:b/>
          <w:sz w:val="20"/>
        </w:rPr>
        <w:t>Course Description:</w:t>
      </w:r>
      <w:r w:rsidRPr="009669A6">
        <w:rPr>
          <w:b/>
          <w:sz w:val="20"/>
        </w:rPr>
        <w:tab/>
      </w:r>
    </w:p>
    <w:p w:rsidR="00D842CF" w:rsidRPr="009669A6" w:rsidRDefault="00D842CF" w:rsidP="009669A6">
      <w:pPr>
        <w:pStyle w:val="NoSpacing"/>
        <w:rPr>
          <w:sz w:val="20"/>
        </w:rPr>
      </w:pPr>
      <w:r w:rsidRPr="009669A6">
        <w:rPr>
          <w:sz w:val="20"/>
        </w:rPr>
        <w:t xml:space="preserve">ARC 362 History of Western </w:t>
      </w:r>
      <w:r w:rsidR="00A427B7" w:rsidRPr="009669A6">
        <w:rPr>
          <w:sz w:val="20"/>
        </w:rPr>
        <w:t>Architecture. (</w:t>
      </w:r>
      <w:r w:rsidRPr="009669A6">
        <w:rPr>
          <w:sz w:val="20"/>
        </w:rPr>
        <w:t>3 credits).  A study of the development of building design from the Ancient Egyptians and Greeks through the major historical periods to the present.  Emphasis is on the evolution of the forms derived from indigenous technologies of the period surveyed.</w:t>
      </w:r>
      <w:r w:rsidRPr="009669A6">
        <w:rPr>
          <w:sz w:val="20"/>
        </w:rPr>
        <w:tab/>
      </w:r>
      <w:r w:rsidRPr="009669A6">
        <w:rPr>
          <w:sz w:val="20"/>
        </w:rPr>
        <w:tab/>
      </w:r>
      <w:r w:rsidRPr="009669A6">
        <w:rPr>
          <w:sz w:val="20"/>
        </w:rPr>
        <w:tab/>
      </w:r>
      <w:r w:rsidRPr="009669A6">
        <w:rPr>
          <w:sz w:val="20"/>
        </w:rPr>
        <w:tab/>
        <w:t xml:space="preserve"> </w:t>
      </w:r>
    </w:p>
    <w:p w:rsidR="00D842CF" w:rsidRPr="009669A6" w:rsidRDefault="00D842CF" w:rsidP="009669A6">
      <w:pPr>
        <w:pStyle w:val="NoSpacing"/>
        <w:rPr>
          <w:sz w:val="20"/>
        </w:rPr>
      </w:pPr>
    </w:p>
    <w:p w:rsidR="00D842CF" w:rsidRPr="009669A6" w:rsidRDefault="00D842CF" w:rsidP="009669A6">
      <w:pPr>
        <w:pStyle w:val="NoSpacing"/>
        <w:rPr>
          <w:sz w:val="20"/>
        </w:rPr>
      </w:pPr>
      <w:r w:rsidRPr="009669A6">
        <w:rPr>
          <w:b/>
          <w:sz w:val="20"/>
        </w:rPr>
        <w:t>Textbook:</w:t>
      </w:r>
      <w:r w:rsidR="009669A6">
        <w:rPr>
          <w:b/>
          <w:sz w:val="20"/>
        </w:rPr>
        <w:t xml:space="preserve"> </w:t>
      </w:r>
      <w:r w:rsidRPr="009669A6">
        <w:rPr>
          <w:sz w:val="20"/>
        </w:rPr>
        <w:t>Trachtenberg, M</w:t>
      </w:r>
      <w:r w:rsidR="009669A6">
        <w:rPr>
          <w:sz w:val="20"/>
        </w:rPr>
        <w:t>.</w:t>
      </w:r>
      <w:r w:rsidRPr="009669A6">
        <w:rPr>
          <w:sz w:val="20"/>
        </w:rPr>
        <w:t>, Hyman, I</w:t>
      </w:r>
      <w:r w:rsidR="009669A6">
        <w:rPr>
          <w:sz w:val="20"/>
        </w:rPr>
        <w:t>.</w:t>
      </w:r>
      <w:r w:rsidRPr="009669A6">
        <w:rPr>
          <w:sz w:val="20"/>
        </w:rPr>
        <w:t xml:space="preserve">, </w:t>
      </w:r>
      <w:r w:rsidRPr="009669A6">
        <w:rPr>
          <w:sz w:val="20"/>
          <w:u w:val="single"/>
        </w:rPr>
        <w:t>Architecture from Prehistory to</w:t>
      </w:r>
      <w:r w:rsidRPr="009669A6">
        <w:rPr>
          <w:sz w:val="20"/>
        </w:rPr>
        <w:t xml:space="preserve"> </w:t>
      </w:r>
      <w:r w:rsidRPr="009669A6">
        <w:rPr>
          <w:sz w:val="20"/>
          <w:u w:val="single"/>
        </w:rPr>
        <w:t>Post-Modernism</w:t>
      </w:r>
      <w:r w:rsidRPr="009669A6">
        <w:rPr>
          <w:sz w:val="20"/>
        </w:rPr>
        <w:t>, Prentice Hall</w:t>
      </w:r>
    </w:p>
    <w:p w:rsidR="00D842CF" w:rsidRPr="009669A6" w:rsidRDefault="00D842CF" w:rsidP="009669A6">
      <w:pPr>
        <w:pStyle w:val="NoSpacing"/>
        <w:rPr>
          <w:sz w:val="20"/>
        </w:rPr>
      </w:pPr>
      <w:r w:rsidRPr="009669A6">
        <w:rPr>
          <w:b/>
          <w:sz w:val="20"/>
        </w:rPr>
        <w:t>Reference:</w:t>
      </w:r>
      <w:r w:rsidR="009669A6">
        <w:rPr>
          <w:b/>
          <w:sz w:val="20"/>
        </w:rPr>
        <w:t xml:space="preserve"> </w:t>
      </w:r>
      <w:r w:rsidRPr="009669A6">
        <w:rPr>
          <w:sz w:val="20"/>
        </w:rPr>
        <w:t xml:space="preserve">Fletcher, Banister, </w:t>
      </w:r>
      <w:r w:rsidRPr="009669A6">
        <w:rPr>
          <w:sz w:val="20"/>
          <w:u w:val="single"/>
        </w:rPr>
        <w:t>A History of Architecture on the Comparative Method</w:t>
      </w:r>
      <w:r w:rsidRPr="009669A6">
        <w:rPr>
          <w:sz w:val="20"/>
        </w:rPr>
        <w:t>, 17</w:t>
      </w:r>
      <w:r w:rsidRPr="009669A6">
        <w:rPr>
          <w:sz w:val="20"/>
          <w:vertAlign w:val="superscript"/>
        </w:rPr>
        <w:t>th</w:t>
      </w:r>
      <w:r w:rsidRPr="009669A6">
        <w:rPr>
          <w:sz w:val="20"/>
        </w:rPr>
        <w:t xml:space="preserve"> </w:t>
      </w:r>
      <w:proofErr w:type="spellStart"/>
      <w:r w:rsidRPr="009669A6">
        <w:rPr>
          <w:sz w:val="20"/>
        </w:rPr>
        <w:t>edt</w:t>
      </w:r>
      <w:proofErr w:type="spellEnd"/>
      <w:r w:rsidRPr="009669A6">
        <w:rPr>
          <w:sz w:val="20"/>
        </w:rPr>
        <w:t xml:space="preserve">., </w:t>
      </w:r>
      <w:proofErr w:type="spellStart"/>
      <w:r w:rsidRPr="009669A6">
        <w:rPr>
          <w:sz w:val="20"/>
        </w:rPr>
        <w:t>Scribners</w:t>
      </w:r>
      <w:proofErr w:type="spellEnd"/>
    </w:p>
    <w:p w:rsidR="00D842CF" w:rsidRPr="009669A6" w:rsidRDefault="00D842CF" w:rsidP="009669A6">
      <w:pPr>
        <w:pStyle w:val="NoSpacing"/>
        <w:rPr>
          <w:sz w:val="20"/>
        </w:rPr>
      </w:pPr>
    </w:p>
    <w:p w:rsidR="009669A6" w:rsidRPr="009669A6" w:rsidRDefault="00D842CF" w:rsidP="00D842CF">
      <w:pPr>
        <w:pStyle w:val="Header"/>
        <w:tabs>
          <w:tab w:val="clear" w:pos="4320"/>
        </w:tabs>
        <w:rPr>
          <w:b/>
          <w:sz w:val="20"/>
        </w:rPr>
      </w:pPr>
      <w:r w:rsidRPr="009669A6">
        <w:rPr>
          <w:b/>
          <w:sz w:val="20"/>
        </w:rPr>
        <w:t>Grading:</w:t>
      </w:r>
    </w:p>
    <w:p w:rsidR="00D842CF" w:rsidRPr="009669A6" w:rsidRDefault="00D842CF" w:rsidP="00D842CF">
      <w:pPr>
        <w:pStyle w:val="Header"/>
        <w:tabs>
          <w:tab w:val="clear" w:pos="4320"/>
        </w:tabs>
        <w:rPr>
          <w:sz w:val="20"/>
        </w:rPr>
      </w:pPr>
      <w:r w:rsidRPr="009669A6">
        <w:rPr>
          <w:sz w:val="20"/>
        </w:rPr>
        <w:t xml:space="preserve">The final grade will be based on the following: 4 Exams and 1 Term Paper.  </w:t>
      </w:r>
    </w:p>
    <w:p w:rsidR="00D842CF" w:rsidRPr="009669A6" w:rsidRDefault="00D842CF" w:rsidP="00D842CF">
      <w:pPr>
        <w:pStyle w:val="Header"/>
        <w:numPr>
          <w:ilvl w:val="0"/>
          <w:numId w:val="2"/>
        </w:numPr>
        <w:rPr>
          <w:sz w:val="20"/>
        </w:rPr>
      </w:pPr>
      <w:r w:rsidRPr="009669A6">
        <w:rPr>
          <w:sz w:val="20"/>
        </w:rPr>
        <w:t xml:space="preserve">Exams will have four parts: slide identification; building or component part identification; multiple choice questions to assess broad topic concepts; and analysis essay to assess in depth understanding of topic. </w:t>
      </w:r>
    </w:p>
    <w:p w:rsidR="00D842CF" w:rsidRPr="009669A6" w:rsidRDefault="00D842CF" w:rsidP="00D842CF">
      <w:pPr>
        <w:pStyle w:val="Header"/>
        <w:numPr>
          <w:ilvl w:val="0"/>
          <w:numId w:val="2"/>
        </w:numPr>
        <w:rPr>
          <w:sz w:val="20"/>
        </w:rPr>
      </w:pPr>
      <w:r w:rsidRPr="009669A6">
        <w:rPr>
          <w:sz w:val="20"/>
        </w:rPr>
        <w:t xml:space="preserve">The term paper is a comparative analysis article showing the historical styles used from an approved building in your hometown with the images in the text.  Suggested paper length 1500 words min.  Paper shall include side-by-side images.  </w:t>
      </w:r>
    </w:p>
    <w:p w:rsidR="00D842CF" w:rsidRPr="009669A6" w:rsidRDefault="00D842CF" w:rsidP="00D842CF">
      <w:pPr>
        <w:pStyle w:val="ListParagraph"/>
        <w:numPr>
          <w:ilvl w:val="0"/>
          <w:numId w:val="2"/>
        </w:numPr>
        <w:snapToGrid w:val="0"/>
        <w:rPr>
          <w:color w:val="000000"/>
          <w:sz w:val="20"/>
        </w:rPr>
      </w:pPr>
      <w:r w:rsidRPr="009669A6">
        <w:rPr>
          <w:color w:val="000000"/>
          <w:sz w:val="20"/>
        </w:rPr>
        <w:t>Please see the College Catalog for the current Farmingdale State College Grading System.</w:t>
      </w:r>
    </w:p>
    <w:p w:rsidR="00D842CF" w:rsidRPr="009669A6" w:rsidRDefault="00D842CF" w:rsidP="00D842CF">
      <w:pPr>
        <w:pStyle w:val="Header"/>
        <w:rPr>
          <w:sz w:val="20"/>
        </w:rPr>
      </w:pPr>
    </w:p>
    <w:p w:rsidR="009669A6" w:rsidRPr="009669A6" w:rsidRDefault="00D842CF" w:rsidP="00D842CF">
      <w:pPr>
        <w:pStyle w:val="Header"/>
        <w:tabs>
          <w:tab w:val="clear" w:pos="4320"/>
          <w:tab w:val="center" w:pos="2880"/>
        </w:tabs>
        <w:rPr>
          <w:b/>
          <w:sz w:val="20"/>
        </w:rPr>
      </w:pPr>
      <w:r w:rsidRPr="009669A6">
        <w:rPr>
          <w:b/>
          <w:sz w:val="20"/>
        </w:rPr>
        <w:t>Exam schedule:</w:t>
      </w:r>
      <w:r w:rsidRPr="009669A6">
        <w:rPr>
          <w:b/>
          <w:sz w:val="20"/>
        </w:rPr>
        <w:tab/>
        <w:t xml:space="preserve">           </w:t>
      </w:r>
    </w:p>
    <w:p w:rsidR="00D842CF" w:rsidRPr="009669A6" w:rsidRDefault="00D842CF" w:rsidP="009669A6">
      <w:pPr>
        <w:pStyle w:val="NoSpacing"/>
        <w:numPr>
          <w:ilvl w:val="0"/>
          <w:numId w:val="4"/>
        </w:numPr>
        <w:rPr>
          <w:sz w:val="20"/>
        </w:rPr>
      </w:pPr>
      <w:r w:rsidRPr="009669A6">
        <w:rPr>
          <w:sz w:val="20"/>
        </w:rPr>
        <w:t>Exam 1: The Ancient World 20%</w:t>
      </w:r>
    </w:p>
    <w:p w:rsidR="00D842CF" w:rsidRPr="009669A6" w:rsidRDefault="00D842CF" w:rsidP="009669A6">
      <w:pPr>
        <w:pStyle w:val="NoSpacing"/>
        <w:numPr>
          <w:ilvl w:val="0"/>
          <w:numId w:val="4"/>
        </w:numPr>
        <w:rPr>
          <w:sz w:val="20"/>
        </w:rPr>
      </w:pPr>
      <w:r w:rsidRPr="009669A6">
        <w:rPr>
          <w:sz w:val="20"/>
        </w:rPr>
        <w:t>Exam 2: The Middle Ages 20%</w:t>
      </w:r>
    </w:p>
    <w:p w:rsidR="00D842CF" w:rsidRPr="009669A6" w:rsidRDefault="00D842CF" w:rsidP="009669A6">
      <w:pPr>
        <w:pStyle w:val="NoSpacing"/>
        <w:numPr>
          <w:ilvl w:val="0"/>
          <w:numId w:val="4"/>
        </w:numPr>
        <w:rPr>
          <w:sz w:val="20"/>
        </w:rPr>
      </w:pPr>
      <w:r w:rsidRPr="009669A6">
        <w:rPr>
          <w:sz w:val="20"/>
        </w:rPr>
        <w:t>Exam 3: The Renaissance &amp; Baroque 20%</w:t>
      </w:r>
    </w:p>
    <w:p w:rsidR="00D842CF" w:rsidRPr="009669A6" w:rsidRDefault="00D842CF" w:rsidP="009669A6">
      <w:pPr>
        <w:pStyle w:val="NoSpacing"/>
        <w:numPr>
          <w:ilvl w:val="0"/>
          <w:numId w:val="4"/>
        </w:numPr>
        <w:rPr>
          <w:sz w:val="20"/>
        </w:rPr>
      </w:pPr>
      <w:r w:rsidRPr="009669A6">
        <w:rPr>
          <w:sz w:val="20"/>
        </w:rPr>
        <w:t>Exam 4: The Modern World (18th &amp; 19th Century) 20%</w:t>
      </w:r>
    </w:p>
    <w:p w:rsidR="00D842CF" w:rsidRPr="009669A6" w:rsidRDefault="00D842CF" w:rsidP="009669A6">
      <w:pPr>
        <w:pStyle w:val="NoSpacing"/>
        <w:numPr>
          <w:ilvl w:val="0"/>
          <w:numId w:val="4"/>
        </w:numPr>
        <w:rPr>
          <w:sz w:val="20"/>
        </w:rPr>
      </w:pPr>
      <w:r w:rsidRPr="009669A6">
        <w:rPr>
          <w:sz w:val="20"/>
        </w:rPr>
        <w:t>Term Paper (20th Century) 20%</w:t>
      </w:r>
    </w:p>
    <w:p w:rsidR="00D842CF" w:rsidRDefault="00D842CF" w:rsidP="00D842CF">
      <w:pPr>
        <w:pStyle w:val="Header"/>
        <w:tabs>
          <w:tab w:val="clear" w:pos="4320"/>
          <w:tab w:val="clear" w:pos="8640"/>
        </w:tabs>
      </w:pPr>
    </w:p>
    <w:p w:rsidR="009669A6" w:rsidRPr="009669A6" w:rsidRDefault="00D842CF" w:rsidP="00D842CF">
      <w:pPr>
        <w:pStyle w:val="Header"/>
        <w:tabs>
          <w:tab w:val="clear" w:pos="4320"/>
          <w:tab w:val="clear" w:pos="8640"/>
          <w:tab w:val="left" w:pos="2160"/>
        </w:tabs>
        <w:ind w:left="2160" w:hanging="2160"/>
        <w:rPr>
          <w:b/>
          <w:sz w:val="20"/>
        </w:rPr>
      </w:pPr>
      <w:r w:rsidRPr="009669A6">
        <w:rPr>
          <w:b/>
          <w:sz w:val="20"/>
        </w:rPr>
        <w:t>Course Objectives:</w:t>
      </w:r>
      <w:r w:rsidRPr="009669A6">
        <w:rPr>
          <w:b/>
          <w:sz w:val="20"/>
        </w:rPr>
        <w:tab/>
      </w:r>
    </w:p>
    <w:p w:rsidR="00D842CF" w:rsidRPr="009669A6" w:rsidRDefault="00D842CF" w:rsidP="009669A6">
      <w:pPr>
        <w:pStyle w:val="NoSpacing"/>
        <w:numPr>
          <w:ilvl w:val="0"/>
          <w:numId w:val="3"/>
        </w:numPr>
        <w:rPr>
          <w:sz w:val="20"/>
        </w:rPr>
      </w:pPr>
      <w:r w:rsidRPr="009669A6">
        <w:rPr>
          <w:sz w:val="20"/>
        </w:rPr>
        <w:t>Students will develop a basic literacy and aesthetic appreciation of the history of western architectural periods.</w:t>
      </w:r>
    </w:p>
    <w:p w:rsidR="00D842CF" w:rsidRPr="009669A6" w:rsidRDefault="00D842CF" w:rsidP="009669A6">
      <w:pPr>
        <w:pStyle w:val="NoSpacing"/>
        <w:numPr>
          <w:ilvl w:val="0"/>
          <w:numId w:val="3"/>
        </w:numPr>
        <w:rPr>
          <w:sz w:val="20"/>
        </w:rPr>
      </w:pPr>
      <w:r w:rsidRPr="009669A6">
        <w:rPr>
          <w:sz w:val="20"/>
        </w:rPr>
        <w:t>Students will understand the context and technological developments that produced each architectural period.</w:t>
      </w:r>
    </w:p>
    <w:p w:rsidR="00D842CF" w:rsidRPr="009669A6" w:rsidRDefault="00D842CF" w:rsidP="009669A6">
      <w:pPr>
        <w:pStyle w:val="NoSpacing"/>
        <w:numPr>
          <w:ilvl w:val="0"/>
          <w:numId w:val="3"/>
        </w:numPr>
        <w:rPr>
          <w:sz w:val="20"/>
        </w:rPr>
      </w:pPr>
      <w:r w:rsidRPr="009669A6">
        <w:rPr>
          <w:sz w:val="20"/>
        </w:rPr>
        <w:t xml:space="preserve">Students should be able to apply this knowledge in analyzing historical and contemporary works of architecture for period/historical references. </w:t>
      </w:r>
    </w:p>
    <w:p w:rsidR="00D842CF" w:rsidRPr="009669A6" w:rsidRDefault="00D842CF" w:rsidP="00D842CF">
      <w:pPr>
        <w:pStyle w:val="Header"/>
        <w:tabs>
          <w:tab w:val="clear" w:pos="4320"/>
          <w:tab w:val="clear" w:pos="8640"/>
          <w:tab w:val="left" w:pos="2160"/>
        </w:tabs>
        <w:ind w:left="2160" w:hanging="2160"/>
        <w:rPr>
          <w:sz w:val="20"/>
        </w:rPr>
      </w:pPr>
    </w:p>
    <w:p w:rsidR="009669A6" w:rsidRPr="009669A6" w:rsidRDefault="00D842CF" w:rsidP="00D842CF">
      <w:pPr>
        <w:ind w:left="2160" w:hanging="2160"/>
        <w:rPr>
          <w:b/>
          <w:sz w:val="20"/>
        </w:rPr>
      </w:pPr>
      <w:r w:rsidRPr="009669A6">
        <w:rPr>
          <w:b/>
          <w:sz w:val="20"/>
        </w:rPr>
        <w:t xml:space="preserve">Relationship to </w:t>
      </w:r>
      <w:r w:rsidR="009669A6" w:rsidRPr="009669A6">
        <w:rPr>
          <w:b/>
          <w:sz w:val="20"/>
        </w:rPr>
        <w:t xml:space="preserve">ABET </w:t>
      </w:r>
      <w:r w:rsidR="00275482">
        <w:rPr>
          <w:b/>
          <w:sz w:val="20"/>
        </w:rPr>
        <w:t xml:space="preserve">Student Learning </w:t>
      </w:r>
      <w:r w:rsidR="009669A6" w:rsidRPr="009669A6">
        <w:rPr>
          <w:b/>
          <w:sz w:val="20"/>
        </w:rPr>
        <w:t>Outcomes:</w:t>
      </w:r>
    </w:p>
    <w:p w:rsidR="00275482" w:rsidRDefault="00D842CF" w:rsidP="00275482">
      <w:pPr>
        <w:ind w:firstLine="720"/>
        <w:rPr>
          <w:sz w:val="20"/>
        </w:rPr>
      </w:pPr>
      <w:r w:rsidRPr="009669A6">
        <w:rPr>
          <w:sz w:val="20"/>
        </w:rPr>
        <w:t xml:space="preserve">(a) an appropriate mastery of the knowledge, techniques, skills and modern tools of their disciplines, </w:t>
      </w:r>
    </w:p>
    <w:p w:rsidR="00D842CF" w:rsidRDefault="00D842CF" w:rsidP="00275482">
      <w:pPr>
        <w:ind w:left="720"/>
        <w:rPr>
          <w:sz w:val="20"/>
        </w:rPr>
      </w:pPr>
      <w:r w:rsidRPr="009669A6">
        <w:rPr>
          <w:sz w:val="20"/>
        </w:rPr>
        <w:t>(h) a recognition of the need for, and an ability to engage in lifelong learning.</w:t>
      </w:r>
    </w:p>
    <w:p w:rsidR="00A11569" w:rsidRPr="00A11569" w:rsidRDefault="00275482" w:rsidP="009669A6">
      <w:pPr>
        <w:rPr>
          <w:b/>
          <w:sz w:val="20"/>
        </w:rPr>
      </w:pPr>
      <w:r>
        <w:rPr>
          <w:b/>
          <w:sz w:val="20"/>
        </w:rPr>
        <w:t xml:space="preserve">Relationship to SUNY </w:t>
      </w:r>
      <w:r w:rsidR="00A11569" w:rsidRPr="00A11569">
        <w:rPr>
          <w:b/>
          <w:sz w:val="20"/>
        </w:rPr>
        <w:t>General Education Learning Outcomes</w:t>
      </w:r>
      <w:r>
        <w:rPr>
          <w:b/>
          <w:sz w:val="20"/>
        </w:rPr>
        <w:t xml:space="preserve"> </w:t>
      </w:r>
      <w:r w:rsidRPr="00A11569">
        <w:rPr>
          <w:b/>
          <w:sz w:val="20"/>
        </w:rPr>
        <w:t>for</w:t>
      </w:r>
      <w:r w:rsidR="00A11569" w:rsidRPr="00A11569">
        <w:rPr>
          <w:b/>
          <w:sz w:val="20"/>
        </w:rPr>
        <w:t xml:space="preserve"> – Humanities:</w:t>
      </w:r>
    </w:p>
    <w:p w:rsidR="0051603F" w:rsidRPr="0051603F" w:rsidRDefault="0051603F" w:rsidP="009E3D4E">
      <w:pPr>
        <w:pStyle w:val="NoSpacing"/>
        <w:numPr>
          <w:ilvl w:val="0"/>
          <w:numId w:val="7"/>
        </w:numPr>
        <w:rPr>
          <w:rFonts w:eastAsiaTheme="minorHAnsi"/>
          <w:sz w:val="20"/>
        </w:rPr>
      </w:pPr>
      <w:r w:rsidRPr="0051603F">
        <w:rPr>
          <w:rFonts w:eastAsiaTheme="minorHAnsi"/>
          <w:sz w:val="20"/>
        </w:rPr>
        <w:t>an</w:t>
      </w:r>
      <w:r w:rsidR="00E142B1">
        <w:rPr>
          <w:rFonts w:eastAsiaTheme="minorHAnsi"/>
          <w:sz w:val="20"/>
        </w:rPr>
        <w:t xml:space="preserve"> identification and</w:t>
      </w:r>
      <w:r w:rsidRPr="0051603F">
        <w:rPr>
          <w:rFonts w:eastAsiaTheme="minorHAnsi"/>
          <w:sz w:val="20"/>
        </w:rPr>
        <w:t xml:space="preserve"> understanding of the objects </w:t>
      </w:r>
      <w:r w:rsidR="00EF23FF">
        <w:rPr>
          <w:rFonts w:eastAsiaTheme="minorHAnsi"/>
          <w:sz w:val="20"/>
        </w:rPr>
        <w:t>different architectural periods</w:t>
      </w:r>
      <w:r w:rsidR="00E142B1">
        <w:rPr>
          <w:rFonts w:eastAsiaTheme="minorHAnsi"/>
          <w:sz w:val="20"/>
        </w:rPr>
        <w:t xml:space="preserve"> </w:t>
      </w:r>
      <w:r w:rsidRPr="0051603F">
        <w:rPr>
          <w:rFonts w:eastAsiaTheme="minorHAnsi"/>
          <w:sz w:val="20"/>
        </w:rPr>
        <w:t>as expressions of the cultural contexts of the people who created them</w:t>
      </w:r>
      <w:r w:rsidR="00700705">
        <w:rPr>
          <w:rFonts w:eastAsiaTheme="minorHAnsi"/>
          <w:sz w:val="20"/>
        </w:rPr>
        <w:t xml:space="preserve"> in the </w:t>
      </w:r>
      <w:r w:rsidR="00AF0BE8">
        <w:rPr>
          <w:rFonts w:eastAsiaTheme="minorHAnsi"/>
          <w:sz w:val="20"/>
        </w:rPr>
        <w:t>4-major</w:t>
      </w:r>
      <w:r w:rsidR="00700705">
        <w:rPr>
          <w:rFonts w:eastAsiaTheme="minorHAnsi"/>
          <w:sz w:val="20"/>
        </w:rPr>
        <w:t xml:space="preserve"> </w:t>
      </w:r>
      <w:r w:rsidR="00AF0BE8">
        <w:rPr>
          <w:rFonts w:eastAsiaTheme="minorHAnsi"/>
          <w:sz w:val="20"/>
        </w:rPr>
        <w:t xml:space="preserve">western architectural </w:t>
      </w:r>
      <w:r w:rsidR="00700705">
        <w:rPr>
          <w:rFonts w:eastAsiaTheme="minorHAnsi"/>
          <w:sz w:val="20"/>
        </w:rPr>
        <w:t xml:space="preserve">periods: </w:t>
      </w:r>
      <w:r w:rsidR="00AF0BE8">
        <w:rPr>
          <w:rFonts w:eastAsiaTheme="minorHAnsi"/>
          <w:sz w:val="20"/>
        </w:rPr>
        <w:t>The</w:t>
      </w:r>
      <w:r w:rsidR="00700705">
        <w:rPr>
          <w:rFonts w:eastAsiaTheme="minorHAnsi"/>
          <w:sz w:val="20"/>
        </w:rPr>
        <w:t xml:space="preserve"> </w:t>
      </w:r>
      <w:r w:rsidR="00700705">
        <w:rPr>
          <w:rFonts w:eastAsiaTheme="minorHAnsi"/>
          <w:sz w:val="20"/>
        </w:rPr>
        <w:lastRenderedPageBreak/>
        <w:t xml:space="preserve">Ancient World, </w:t>
      </w:r>
      <w:r w:rsidR="00CA6F79">
        <w:rPr>
          <w:rFonts w:eastAsiaTheme="minorHAnsi"/>
          <w:sz w:val="20"/>
        </w:rPr>
        <w:t>T</w:t>
      </w:r>
      <w:r w:rsidR="00700705">
        <w:rPr>
          <w:rFonts w:eastAsiaTheme="minorHAnsi"/>
          <w:sz w:val="20"/>
        </w:rPr>
        <w:t xml:space="preserve">he Middle Ages, </w:t>
      </w:r>
      <w:r w:rsidR="00CA6F79">
        <w:rPr>
          <w:rFonts w:eastAsiaTheme="minorHAnsi"/>
          <w:sz w:val="20"/>
        </w:rPr>
        <w:t>T</w:t>
      </w:r>
      <w:r w:rsidR="00700705">
        <w:rPr>
          <w:rFonts w:eastAsiaTheme="minorHAnsi"/>
          <w:sz w:val="20"/>
        </w:rPr>
        <w:t xml:space="preserve">he Renaissance and Baroque, and </w:t>
      </w:r>
      <w:r w:rsidR="00CA6F79">
        <w:rPr>
          <w:rFonts w:eastAsiaTheme="minorHAnsi"/>
          <w:sz w:val="20"/>
        </w:rPr>
        <w:t>T</w:t>
      </w:r>
      <w:r w:rsidR="00700705">
        <w:rPr>
          <w:rFonts w:eastAsiaTheme="minorHAnsi"/>
          <w:sz w:val="20"/>
        </w:rPr>
        <w:t>he Modern World.</w:t>
      </w:r>
      <w:r w:rsidR="00E142B1">
        <w:rPr>
          <w:rFonts w:eastAsiaTheme="minorHAnsi"/>
          <w:sz w:val="20"/>
        </w:rPr>
        <w:t xml:space="preserve"> (</w:t>
      </w:r>
      <w:r w:rsidR="009E3D4E">
        <w:rPr>
          <w:rFonts w:eastAsiaTheme="minorHAnsi"/>
          <w:sz w:val="20"/>
        </w:rPr>
        <w:t xml:space="preserve">slide/part ID, </w:t>
      </w:r>
      <w:r w:rsidR="00700705">
        <w:rPr>
          <w:rFonts w:eastAsiaTheme="minorHAnsi"/>
          <w:sz w:val="20"/>
        </w:rPr>
        <w:t>m</w:t>
      </w:r>
      <w:r w:rsidR="00E142B1">
        <w:rPr>
          <w:rFonts w:eastAsiaTheme="minorHAnsi"/>
          <w:sz w:val="20"/>
        </w:rPr>
        <w:t xml:space="preserve">ultiple </w:t>
      </w:r>
      <w:r w:rsidR="00700705">
        <w:rPr>
          <w:rFonts w:eastAsiaTheme="minorHAnsi"/>
          <w:sz w:val="20"/>
        </w:rPr>
        <w:t>c</w:t>
      </w:r>
      <w:r w:rsidR="00E142B1">
        <w:rPr>
          <w:rFonts w:eastAsiaTheme="minorHAnsi"/>
          <w:sz w:val="20"/>
        </w:rPr>
        <w:t xml:space="preserve">hoice exam questions and </w:t>
      </w:r>
      <w:r w:rsidR="009E3D4E">
        <w:rPr>
          <w:rFonts w:eastAsiaTheme="minorHAnsi"/>
          <w:sz w:val="20"/>
        </w:rPr>
        <w:t xml:space="preserve">analysis </w:t>
      </w:r>
      <w:r w:rsidR="00E142B1">
        <w:rPr>
          <w:rFonts w:eastAsiaTheme="minorHAnsi"/>
          <w:sz w:val="20"/>
        </w:rPr>
        <w:t>essays)</w:t>
      </w:r>
      <w:r w:rsidRPr="0051603F">
        <w:rPr>
          <w:rFonts w:eastAsiaTheme="minorHAnsi"/>
          <w:sz w:val="20"/>
        </w:rPr>
        <w:t xml:space="preserve">; </w:t>
      </w:r>
    </w:p>
    <w:p w:rsidR="0051603F" w:rsidRPr="0051603F" w:rsidRDefault="0051603F" w:rsidP="009E3D4E">
      <w:pPr>
        <w:pStyle w:val="NoSpacing"/>
        <w:numPr>
          <w:ilvl w:val="0"/>
          <w:numId w:val="7"/>
        </w:numPr>
        <w:rPr>
          <w:rFonts w:eastAsiaTheme="minorHAnsi"/>
          <w:sz w:val="20"/>
        </w:rPr>
      </w:pPr>
      <w:r w:rsidRPr="0051603F">
        <w:rPr>
          <w:rFonts w:eastAsiaTheme="minorHAnsi"/>
          <w:sz w:val="20"/>
        </w:rPr>
        <w:t>an ability to employ the terms and understand the conventions particular to the discipline</w:t>
      </w:r>
      <w:r w:rsidR="00700705">
        <w:rPr>
          <w:rFonts w:eastAsiaTheme="minorHAnsi"/>
          <w:sz w:val="20"/>
        </w:rPr>
        <w:t xml:space="preserve"> in the </w:t>
      </w:r>
      <w:r w:rsidR="00AF0BE8">
        <w:rPr>
          <w:rFonts w:eastAsiaTheme="minorHAnsi"/>
          <w:sz w:val="20"/>
        </w:rPr>
        <w:t>4-major</w:t>
      </w:r>
      <w:r w:rsidR="00700705">
        <w:rPr>
          <w:rFonts w:eastAsiaTheme="minorHAnsi"/>
          <w:sz w:val="20"/>
        </w:rPr>
        <w:t xml:space="preserve"> </w:t>
      </w:r>
      <w:r w:rsidR="00AF0BE8">
        <w:rPr>
          <w:rFonts w:eastAsiaTheme="minorHAnsi"/>
          <w:sz w:val="20"/>
        </w:rPr>
        <w:t xml:space="preserve">western architectural </w:t>
      </w:r>
      <w:r w:rsidR="00700705">
        <w:rPr>
          <w:rFonts w:eastAsiaTheme="minorHAnsi"/>
          <w:sz w:val="20"/>
        </w:rPr>
        <w:t xml:space="preserve">periods: </w:t>
      </w:r>
      <w:r w:rsidR="00AF0BE8">
        <w:rPr>
          <w:rFonts w:eastAsiaTheme="minorHAnsi"/>
          <w:sz w:val="20"/>
        </w:rPr>
        <w:t>The</w:t>
      </w:r>
      <w:r w:rsidR="00700705">
        <w:rPr>
          <w:rFonts w:eastAsiaTheme="minorHAnsi"/>
          <w:sz w:val="20"/>
        </w:rPr>
        <w:t xml:space="preserve"> Ancient World, </w:t>
      </w:r>
      <w:r w:rsidR="00AF0BE8">
        <w:rPr>
          <w:rFonts w:eastAsiaTheme="minorHAnsi"/>
          <w:sz w:val="20"/>
        </w:rPr>
        <w:t>T</w:t>
      </w:r>
      <w:r w:rsidR="00700705">
        <w:rPr>
          <w:rFonts w:eastAsiaTheme="minorHAnsi"/>
          <w:sz w:val="20"/>
        </w:rPr>
        <w:t xml:space="preserve">he Middle Ages, </w:t>
      </w:r>
      <w:r w:rsidR="00CA6F79">
        <w:rPr>
          <w:rFonts w:eastAsiaTheme="minorHAnsi"/>
          <w:sz w:val="20"/>
        </w:rPr>
        <w:t>T</w:t>
      </w:r>
      <w:r w:rsidR="00700705">
        <w:rPr>
          <w:rFonts w:eastAsiaTheme="minorHAnsi"/>
          <w:sz w:val="20"/>
        </w:rPr>
        <w:t xml:space="preserve">he Renaissance and Baroque, and </w:t>
      </w:r>
      <w:r w:rsidR="00CA6F79">
        <w:rPr>
          <w:rFonts w:eastAsiaTheme="minorHAnsi"/>
          <w:sz w:val="20"/>
        </w:rPr>
        <w:t>T</w:t>
      </w:r>
      <w:r w:rsidR="00700705">
        <w:rPr>
          <w:rFonts w:eastAsiaTheme="minorHAnsi"/>
          <w:sz w:val="20"/>
        </w:rPr>
        <w:t>he Modern World</w:t>
      </w:r>
      <w:r w:rsidR="00E142B1">
        <w:rPr>
          <w:rFonts w:eastAsiaTheme="minorHAnsi"/>
          <w:sz w:val="20"/>
        </w:rPr>
        <w:t xml:space="preserve"> (</w:t>
      </w:r>
      <w:r w:rsidR="009E3D4E">
        <w:rPr>
          <w:rFonts w:eastAsiaTheme="minorHAnsi"/>
          <w:sz w:val="20"/>
        </w:rPr>
        <w:t>slide/</w:t>
      </w:r>
      <w:proofErr w:type="gramStart"/>
      <w:r w:rsidR="009E3D4E">
        <w:rPr>
          <w:rFonts w:eastAsiaTheme="minorHAnsi"/>
          <w:sz w:val="20"/>
        </w:rPr>
        <w:t>part  ID</w:t>
      </w:r>
      <w:proofErr w:type="gramEnd"/>
      <w:r w:rsidR="009E3D4E">
        <w:rPr>
          <w:rFonts w:eastAsiaTheme="minorHAnsi"/>
          <w:sz w:val="20"/>
        </w:rPr>
        <w:t>, multiple choice exam questions and analysis essays</w:t>
      </w:r>
      <w:r w:rsidR="00E142B1">
        <w:rPr>
          <w:rFonts w:eastAsiaTheme="minorHAnsi"/>
          <w:sz w:val="20"/>
        </w:rPr>
        <w:t>)</w:t>
      </w:r>
      <w:r w:rsidRPr="0051603F">
        <w:rPr>
          <w:rFonts w:eastAsiaTheme="minorHAnsi"/>
          <w:sz w:val="20"/>
        </w:rPr>
        <w:t xml:space="preserve">; </w:t>
      </w:r>
    </w:p>
    <w:p w:rsidR="0051603F" w:rsidRPr="0051603F" w:rsidRDefault="0051603F" w:rsidP="009E3D4E">
      <w:pPr>
        <w:pStyle w:val="NoSpacing"/>
        <w:numPr>
          <w:ilvl w:val="0"/>
          <w:numId w:val="7"/>
        </w:numPr>
        <w:rPr>
          <w:rFonts w:eastAsiaTheme="minorHAnsi"/>
          <w:sz w:val="20"/>
        </w:rPr>
      </w:pPr>
      <w:r w:rsidRPr="0051603F">
        <w:rPr>
          <w:rFonts w:eastAsiaTheme="minorHAnsi"/>
          <w:sz w:val="20"/>
        </w:rPr>
        <w:t xml:space="preserve">an ability to analyze and assess </w:t>
      </w:r>
      <w:r w:rsidR="00E142B1">
        <w:rPr>
          <w:rFonts w:eastAsiaTheme="minorHAnsi"/>
          <w:sz w:val="20"/>
        </w:rPr>
        <w:t xml:space="preserve">the aesthetic </w:t>
      </w:r>
      <w:r w:rsidRPr="0051603F">
        <w:rPr>
          <w:rFonts w:eastAsiaTheme="minorHAnsi"/>
          <w:sz w:val="20"/>
        </w:rPr>
        <w:t xml:space="preserve">ideas and </w:t>
      </w:r>
      <w:r w:rsidR="00E142B1">
        <w:rPr>
          <w:rFonts w:eastAsiaTheme="minorHAnsi"/>
          <w:sz w:val="20"/>
        </w:rPr>
        <w:t xml:space="preserve">technical expression of </w:t>
      </w:r>
      <w:r w:rsidR="00700705">
        <w:rPr>
          <w:rFonts w:eastAsiaTheme="minorHAnsi"/>
          <w:sz w:val="20"/>
        </w:rPr>
        <w:t xml:space="preserve">a contemporary </w:t>
      </w:r>
      <w:r w:rsidR="00E142B1">
        <w:rPr>
          <w:rFonts w:eastAsiaTheme="minorHAnsi"/>
          <w:sz w:val="20"/>
        </w:rPr>
        <w:t xml:space="preserve">building and </w:t>
      </w:r>
      <w:r w:rsidR="00700705">
        <w:rPr>
          <w:rFonts w:eastAsiaTheme="minorHAnsi"/>
          <w:sz w:val="20"/>
        </w:rPr>
        <w:t>its</w:t>
      </w:r>
      <w:r w:rsidR="00E142B1">
        <w:rPr>
          <w:rFonts w:eastAsiaTheme="minorHAnsi"/>
          <w:sz w:val="20"/>
        </w:rPr>
        <w:t xml:space="preserve"> relationship to history (term paper)</w:t>
      </w:r>
      <w:r w:rsidRPr="0051603F">
        <w:rPr>
          <w:rFonts w:eastAsiaTheme="minorHAnsi"/>
          <w:sz w:val="20"/>
        </w:rPr>
        <w:t xml:space="preserve">; </w:t>
      </w:r>
    </w:p>
    <w:p w:rsidR="00D842CF" w:rsidRPr="0051603F" w:rsidRDefault="00D842CF" w:rsidP="0051603F">
      <w:pPr>
        <w:pStyle w:val="NoSpacing"/>
        <w:rPr>
          <w:sz w:val="20"/>
        </w:rPr>
      </w:pPr>
    </w:p>
    <w:p w:rsidR="009669A6" w:rsidRPr="006F541A" w:rsidRDefault="00D842CF" w:rsidP="00D842CF">
      <w:pPr>
        <w:pStyle w:val="Header"/>
        <w:tabs>
          <w:tab w:val="clear" w:pos="4320"/>
          <w:tab w:val="clear" w:pos="8640"/>
          <w:tab w:val="left" w:pos="2160"/>
        </w:tabs>
        <w:rPr>
          <w:b/>
          <w:sz w:val="20"/>
        </w:rPr>
      </w:pPr>
      <w:r w:rsidRPr="006F541A">
        <w:rPr>
          <w:b/>
          <w:sz w:val="20"/>
        </w:rPr>
        <w:t xml:space="preserve">Means of assessment and criteria for success: </w:t>
      </w:r>
    </w:p>
    <w:tbl>
      <w:tblPr>
        <w:tblW w:w="7560" w:type="dxa"/>
        <w:tblInd w:w="890" w:type="dxa"/>
        <w:tblCellMar>
          <w:top w:w="15" w:type="dxa"/>
          <w:left w:w="15" w:type="dxa"/>
          <w:bottom w:w="15" w:type="dxa"/>
          <w:right w:w="15" w:type="dxa"/>
        </w:tblCellMar>
        <w:tblLook w:val="04A0" w:firstRow="1" w:lastRow="0" w:firstColumn="1" w:lastColumn="0" w:noHBand="0" w:noVBand="1"/>
      </w:tblPr>
      <w:tblGrid>
        <w:gridCol w:w="2790"/>
        <w:gridCol w:w="1980"/>
        <w:gridCol w:w="2790"/>
      </w:tblGrid>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noWrap/>
            <w:hideMark/>
          </w:tcPr>
          <w:p w:rsidR="006F541A" w:rsidRPr="006F541A" w:rsidRDefault="006F541A" w:rsidP="006F541A">
            <w:pPr>
              <w:spacing w:line="240" w:lineRule="atLeast"/>
              <w:ind w:left="100" w:right="100"/>
              <w:rPr>
                <w:b/>
                <w:sz w:val="22"/>
                <w:szCs w:val="22"/>
              </w:rPr>
            </w:pPr>
            <w:r w:rsidRPr="006F541A">
              <w:rPr>
                <w:b/>
                <w:sz w:val="20"/>
              </w:rPr>
              <w:t xml:space="preserve">Standards: </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b/>
                <w:sz w:val="22"/>
                <w:szCs w:val="22"/>
              </w:rPr>
            </w:pPr>
            <w:r w:rsidRPr="006F541A">
              <w:rPr>
                <w:b/>
                <w:sz w:val="20"/>
              </w:rPr>
              <w:t>Grade Range</w:t>
            </w:r>
          </w:p>
        </w:tc>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b/>
                <w:sz w:val="22"/>
                <w:szCs w:val="22"/>
              </w:rPr>
            </w:pPr>
            <w:r w:rsidRPr="006F541A">
              <w:rPr>
                <w:b/>
                <w:sz w:val="20"/>
              </w:rPr>
              <w:t>Course Targets % of students</w:t>
            </w: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Exceeds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100-85 (A to B+)</w:t>
            </w:r>
          </w:p>
        </w:tc>
        <w:tc>
          <w:tcPr>
            <w:tcW w:w="2790" w:type="dxa"/>
            <w:vMerge w:val="restart"/>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Criteria for Success</w:t>
            </w:r>
          </w:p>
          <w:p w:rsidR="006F541A" w:rsidRPr="006F541A" w:rsidRDefault="006F541A" w:rsidP="006F541A">
            <w:pPr>
              <w:spacing w:line="240" w:lineRule="atLeast"/>
              <w:ind w:left="100" w:right="100"/>
              <w:rPr>
                <w:sz w:val="22"/>
                <w:szCs w:val="22"/>
              </w:rPr>
            </w:pPr>
            <w:r w:rsidRPr="006F541A">
              <w:rPr>
                <w:sz w:val="20"/>
              </w:rPr>
              <w:t>70-80%</w:t>
            </w: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Meets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84-70 (B to C-)</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541A" w:rsidRPr="006F541A" w:rsidRDefault="006F541A" w:rsidP="006F541A">
            <w:pPr>
              <w:rPr>
                <w:sz w:val="22"/>
                <w:szCs w:val="22"/>
              </w:rPr>
            </w:pP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Approaches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69-60 (D+ to D)</w:t>
            </w:r>
          </w:p>
        </w:tc>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5-15%</w:t>
            </w: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Does not met the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&gt;59 (F)</w:t>
            </w:r>
          </w:p>
        </w:tc>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5-10%</w:t>
            </w:r>
          </w:p>
        </w:tc>
      </w:tr>
    </w:tbl>
    <w:p w:rsidR="00D842CF" w:rsidRPr="006F541A" w:rsidRDefault="00D842CF" w:rsidP="00D842CF">
      <w:pPr>
        <w:pStyle w:val="Header"/>
        <w:tabs>
          <w:tab w:val="clear" w:pos="4320"/>
          <w:tab w:val="clear" w:pos="8640"/>
          <w:tab w:val="left" w:pos="2160"/>
        </w:tabs>
        <w:rPr>
          <w:sz w:val="20"/>
        </w:rPr>
      </w:pPr>
    </w:p>
    <w:p w:rsidR="009669A6" w:rsidRPr="009669A6" w:rsidRDefault="00D842CF" w:rsidP="00D842CF">
      <w:pPr>
        <w:pStyle w:val="Header"/>
        <w:tabs>
          <w:tab w:val="clear" w:pos="4320"/>
          <w:tab w:val="clear" w:pos="8640"/>
          <w:tab w:val="left" w:pos="2160"/>
        </w:tabs>
        <w:ind w:left="2160" w:hanging="2160"/>
        <w:rPr>
          <w:b/>
          <w:sz w:val="20"/>
        </w:rPr>
      </w:pPr>
      <w:r w:rsidRPr="009669A6">
        <w:rPr>
          <w:b/>
          <w:sz w:val="20"/>
        </w:rPr>
        <w:t>Continuous Improvement:</w:t>
      </w:r>
      <w:r w:rsidRPr="009669A6">
        <w:rPr>
          <w:b/>
          <w:sz w:val="20"/>
        </w:rPr>
        <w:tab/>
      </w:r>
    </w:p>
    <w:p w:rsidR="00D842CF" w:rsidRPr="009669A6" w:rsidRDefault="00D842CF" w:rsidP="009669A6">
      <w:pPr>
        <w:pStyle w:val="Header"/>
        <w:tabs>
          <w:tab w:val="clear" w:pos="4320"/>
          <w:tab w:val="clear" w:pos="8640"/>
          <w:tab w:val="left" w:pos="0"/>
        </w:tabs>
        <w:rPr>
          <w:sz w:val="20"/>
        </w:rPr>
      </w:pPr>
      <w:r w:rsidRPr="009669A6">
        <w:rPr>
          <w:sz w:val="20"/>
        </w:rPr>
        <w:t xml:space="preserve">Review student exams noting corrective suggestions and recommendations for improvement for D grade or below.  </w:t>
      </w:r>
      <w:r w:rsidR="009669A6">
        <w:rPr>
          <w:sz w:val="20"/>
        </w:rPr>
        <w:t>Peer r</w:t>
      </w:r>
      <w:r w:rsidRPr="009669A6">
        <w:rPr>
          <w:sz w:val="20"/>
        </w:rPr>
        <w:t>eview draft of final paper making corrective suggestions and recommendations for improvement</w:t>
      </w:r>
      <w:r w:rsidR="00275482">
        <w:rPr>
          <w:sz w:val="20"/>
        </w:rPr>
        <w:t xml:space="preserve"> of analysis</w:t>
      </w:r>
      <w:r w:rsidRPr="009669A6">
        <w:rPr>
          <w:sz w:val="20"/>
        </w:rPr>
        <w:t>.</w:t>
      </w:r>
    </w:p>
    <w:p w:rsidR="00D842CF" w:rsidRDefault="00D842CF" w:rsidP="00D842CF">
      <w:pPr>
        <w:pStyle w:val="Header"/>
        <w:tabs>
          <w:tab w:val="clear" w:pos="4320"/>
          <w:tab w:val="clear" w:pos="8640"/>
        </w:tabs>
      </w:pPr>
    </w:p>
    <w:p w:rsidR="00D842CF" w:rsidRPr="009669A6" w:rsidRDefault="00D842CF" w:rsidP="00D842CF">
      <w:pPr>
        <w:pStyle w:val="Header"/>
        <w:tabs>
          <w:tab w:val="clear" w:pos="4320"/>
          <w:tab w:val="clear" w:pos="8640"/>
        </w:tabs>
        <w:rPr>
          <w:b/>
          <w:sz w:val="20"/>
        </w:rPr>
      </w:pPr>
      <w:r w:rsidRPr="009669A6">
        <w:rPr>
          <w:b/>
          <w:sz w:val="20"/>
        </w:rPr>
        <w:t>Course Topics:</w:t>
      </w:r>
    </w:p>
    <w:p w:rsidR="00D842CF" w:rsidRPr="009669A6" w:rsidRDefault="00D842CF" w:rsidP="00D842CF">
      <w:pPr>
        <w:pStyle w:val="NoSpacing"/>
        <w:ind w:left="720"/>
        <w:rPr>
          <w:b/>
          <w:sz w:val="20"/>
          <w:lang w:val="en"/>
        </w:rPr>
      </w:pPr>
      <w:r w:rsidRPr="009669A6">
        <w:rPr>
          <w:b/>
          <w:sz w:val="20"/>
          <w:lang w:val="en"/>
        </w:rPr>
        <w:t>Introduction</w:t>
      </w:r>
    </w:p>
    <w:p w:rsidR="00D842CF" w:rsidRPr="009669A6" w:rsidRDefault="00D842CF" w:rsidP="00D842CF">
      <w:pPr>
        <w:pStyle w:val="NoSpacing"/>
        <w:ind w:left="720"/>
        <w:rPr>
          <w:b/>
          <w:sz w:val="20"/>
          <w:lang w:val="en"/>
        </w:rPr>
      </w:pPr>
      <w:r w:rsidRPr="009669A6">
        <w:rPr>
          <w:b/>
          <w:sz w:val="20"/>
          <w:lang w:val="en"/>
        </w:rPr>
        <w:t>The Ancient World</w:t>
      </w:r>
    </w:p>
    <w:p w:rsidR="00D842CF" w:rsidRPr="009669A6" w:rsidRDefault="00D842CF" w:rsidP="00D842CF">
      <w:pPr>
        <w:pStyle w:val="NoSpacing"/>
        <w:ind w:left="1440"/>
        <w:rPr>
          <w:sz w:val="20"/>
          <w:lang w:val="en"/>
        </w:rPr>
      </w:pPr>
      <w:r w:rsidRPr="009669A6">
        <w:rPr>
          <w:sz w:val="20"/>
          <w:lang w:val="en"/>
        </w:rPr>
        <w:t>Egyptian Architecture: Read Chapter 1, pp. 46-81</w:t>
      </w:r>
    </w:p>
    <w:p w:rsidR="00D842CF" w:rsidRPr="009669A6" w:rsidRDefault="00D842CF" w:rsidP="00D842CF">
      <w:pPr>
        <w:pStyle w:val="NoSpacing"/>
        <w:ind w:left="1440"/>
        <w:rPr>
          <w:sz w:val="20"/>
          <w:lang w:val="en"/>
        </w:rPr>
      </w:pPr>
      <w:r w:rsidRPr="009669A6">
        <w:rPr>
          <w:sz w:val="20"/>
          <w:lang w:val="en"/>
        </w:rPr>
        <w:t>Greek Architecture: Read Chapter 2, pp. 82-109</w:t>
      </w:r>
    </w:p>
    <w:p w:rsidR="00D842CF" w:rsidRPr="009669A6" w:rsidRDefault="00D842CF" w:rsidP="00D842CF">
      <w:pPr>
        <w:pStyle w:val="NoSpacing"/>
        <w:ind w:left="1440"/>
        <w:rPr>
          <w:sz w:val="20"/>
          <w:lang w:val="en"/>
        </w:rPr>
      </w:pPr>
      <w:r w:rsidRPr="009669A6">
        <w:rPr>
          <w:sz w:val="20"/>
          <w:lang w:val="en"/>
        </w:rPr>
        <w:t>Roman Architecture: Read Chapter 3, pp. 110-157</w:t>
      </w:r>
    </w:p>
    <w:p w:rsidR="00D842CF" w:rsidRPr="009669A6" w:rsidRDefault="00D842CF" w:rsidP="00D842CF">
      <w:pPr>
        <w:pStyle w:val="NoSpacing"/>
        <w:ind w:left="1440"/>
        <w:rPr>
          <w:sz w:val="20"/>
          <w:lang w:val="en"/>
        </w:rPr>
      </w:pPr>
      <w:r w:rsidRPr="009669A6">
        <w:rPr>
          <w:color w:val="A94442"/>
          <w:sz w:val="20"/>
          <w:lang w:val="en"/>
        </w:rPr>
        <w:t>EXAM 1</w:t>
      </w:r>
    </w:p>
    <w:p w:rsidR="00D842CF" w:rsidRPr="009669A6" w:rsidRDefault="00D842CF" w:rsidP="00D842CF">
      <w:pPr>
        <w:pStyle w:val="NoSpacing"/>
        <w:ind w:left="720"/>
        <w:rPr>
          <w:b/>
          <w:sz w:val="20"/>
          <w:lang w:val="en"/>
        </w:rPr>
      </w:pPr>
      <w:r w:rsidRPr="009669A6">
        <w:rPr>
          <w:b/>
          <w:sz w:val="20"/>
          <w:lang w:val="en"/>
        </w:rPr>
        <w:t>The Middle Ages</w:t>
      </w:r>
    </w:p>
    <w:p w:rsidR="00D842CF" w:rsidRPr="009669A6" w:rsidRDefault="00D842CF" w:rsidP="00D842CF">
      <w:pPr>
        <w:pStyle w:val="NoSpacing"/>
        <w:ind w:left="1440"/>
        <w:rPr>
          <w:sz w:val="20"/>
          <w:lang w:val="en"/>
        </w:rPr>
      </w:pPr>
      <w:r w:rsidRPr="009669A6">
        <w:rPr>
          <w:sz w:val="20"/>
          <w:lang w:val="en"/>
        </w:rPr>
        <w:t>Early Christian &amp; Byzantine Architecture: Read Chapter 4, pp. 158-183</w:t>
      </w:r>
    </w:p>
    <w:p w:rsidR="00D842CF" w:rsidRPr="009669A6" w:rsidRDefault="00D842CF" w:rsidP="00D842CF">
      <w:pPr>
        <w:pStyle w:val="NoSpacing"/>
        <w:ind w:left="1440"/>
        <w:rPr>
          <w:sz w:val="20"/>
          <w:lang w:val="en"/>
        </w:rPr>
      </w:pPr>
      <w:r w:rsidRPr="009669A6">
        <w:rPr>
          <w:sz w:val="20"/>
          <w:lang w:val="en"/>
        </w:rPr>
        <w:t>Carolingian (Pre-Romanesque) and Romanesque Architecture: Read Chapter 5, pp. 184-213</w:t>
      </w:r>
    </w:p>
    <w:p w:rsidR="00D842CF" w:rsidRPr="009669A6" w:rsidRDefault="00D842CF" w:rsidP="00D842CF">
      <w:pPr>
        <w:pStyle w:val="NoSpacing"/>
        <w:ind w:left="1440"/>
        <w:rPr>
          <w:sz w:val="20"/>
          <w:lang w:val="en"/>
        </w:rPr>
      </w:pPr>
      <w:r w:rsidRPr="009669A6">
        <w:rPr>
          <w:sz w:val="20"/>
          <w:lang w:val="en"/>
        </w:rPr>
        <w:t>Gothic Architecture: Read Chapter 7, pp. 224-279</w:t>
      </w:r>
    </w:p>
    <w:p w:rsidR="00D842CF" w:rsidRPr="009669A6" w:rsidRDefault="00D842CF" w:rsidP="00D842CF">
      <w:pPr>
        <w:pStyle w:val="NoSpacing"/>
        <w:ind w:left="1440"/>
        <w:rPr>
          <w:sz w:val="20"/>
          <w:lang w:val="en"/>
        </w:rPr>
      </w:pPr>
      <w:r w:rsidRPr="009669A6">
        <w:rPr>
          <w:color w:val="A94442"/>
          <w:sz w:val="20"/>
          <w:lang w:val="en"/>
        </w:rPr>
        <w:t>EXAM 2</w:t>
      </w:r>
    </w:p>
    <w:p w:rsidR="00D842CF" w:rsidRPr="009669A6" w:rsidRDefault="00D842CF" w:rsidP="00D842CF">
      <w:pPr>
        <w:pStyle w:val="NoSpacing"/>
        <w:ind w:left="720"/>
        <w:rPr>
          <w:b/>
          <w:sz w:val="20"/>
          <w:lang w:val="en"/>
        </w:rPr>
      </w:pPr>
      <w:r w:rsidRPr="009669A6">
        <w:rPr>
          <w:b/>
          <w:sz w:val="20"/>
          <w:lang w:val="en"/>
        </w:rPr>
        <w:t>The Renaissance and the Baroque</w:t>
      </w:r>
    </w:p>
    <w:p w:rsidR="00D842CF" w:rsidRPr="009669A6" w:rsidRDefault="00D842CF" w:rsidP="00D842CF">
      <w:pPr>
        <w:pStyle w:val="NoSpacing"/>
        <w:ind w:left="1440"/>
        <w:rPr>
          <w:sz w:val="20"/>
          <w:lang w:val="en"/>
        </w:rPr>
      </w:pPr>
      <w:r w:rsidRPr="009669A6">
        <w:rPr>
          <w:sz w:val="20"/>
          <w:lang w:val="en"/>
        </w:rPr>
        <w:t>Renaissance Architecture: Read Chapter 8</w:t>
      </w:r>
      <w:proofErr w:type="gramStart"/>
      <w:r w:rsidRPr="009669A6">
        <w:rPr>
          <w:sz w:val="20"/>
          <w:lang w:val="en"/>
        </w:rPr>
        <w:t>, ,</w:t>
      </w:r>
      <w:proofErr w:type="gramEnd"/>
      <w:r w:rsidRPr="009669A6">
        <w:rPr>
          <w:sz w:val="20"/>
          <w:lang w:val="en"/>
        </w:rPr>
        <w:t xml:space="preserve"> pp. 280-333</w:t>
      </w:r>
    </w:p>
    <w:p w:rsidR="00D842CF" w:rsidRPr="009669A6" w:rsidRDefault="00D842CF" w:rsidP="00D842CF">
      <w:pPr>
        <w:pStyle w:val="NoSpacing"/>
        <w:ind w:left="1440"/>
        <w:rPr>
          <w:sz w:val="20"/>
          <w:lang w:val="en"/>
        </w:rPr>
      </w:pPr>
      <w:r w:rsidRPr="009669A6">
        <w:rPr>
          <w:sz w:val="20"/>
          <w:lang w:val="en"/>
        </w:rPr>
        <w:t>Baroque Architecture: Read Chapter 9, pp. 334-385</w:t>
      </w:r>
    </w:p>
    <w:p w:rsidR="00D842CF" w:rsidRPr="009669A6" w:rsidRDefault="00D842CF" w:rsidP="00D842CF">
      <w:pPr>
        <w:pStyle w:val="NoSpacing"/>
        <w:ind w:left="1440"/>
        <w:rPr>
          <w:sz w:val="20"/>
          <w:lang w:val="en"/>
        </w:rPr>
      </w:pPr>
      <w:r w:rsidRPr="009669A6">
        <w:rPr>
          <w:color w:val="A94442"/>
          <w:sz w:val="20"/>
          <w:lang w:val="en"/>
        </w:rPr>
        <w:t>EXAM 3</w:t>
      </w:r>
    </w:p>
    <w:p w:rsidR="00D842CF" w:rsidRPr="009669A6" w:rsidRDefault="00D842CF" w:rsidP="00D842CF">
      <w:pPr>
        <w:pStyle w:val="NoSpacing"/>
        <w:ind w:left="720"/>
        <w:rPr>
          <w:b/>
          <w:sz w:val="20"/>
          <w:lang w:val="en"/>
        </w:rPr>
      </w:pPr>
      <w:r w:rsidRPr="009669A6">
        <w:rPr>
          <w:b/>
          <w:sz w:val="20"/>
          <w:lang w:val="en"/>
        </w:rPr>
        <w:t>The Modern World</w:t>
      </w:r>
    </w:p>
    <w:p w:rsidR="00D842CF" w:rsidRPr="009669A6" w:rsidRDefault="00D842CF" w:rsidP="00D842CF">
      <w:pPr>
        <w:pStyle w:val="NoSpacing"/>
        <w:ind w:left="1440"/>
        <w:rPr>
          <w:sz w:val="20"/>
          <w:lang w:val="en"/>
        </w:rPr>
      </w:pPr>
      <w:r w:rsidRPr="009669A6">
        <w:rPr>
          <w:sz w:val="20"/>
          <w:lang w:val="en"/>
        </w:rPr>
        <w:t>Eighteenth Century Architecture: Read Chapter 10, pp. 386-429</w:t>
      </w:r>
    </w:p>
    <w:p w:rsidR="00D842CF" w:rsidRPr="009669A6" w:rsidRDefault="00D842CF" w:rsidP="00D842CF">
      <w:pPr>
        <w:pStyle w:val="NoSpacing"/>
        <w:ind w:left="1440"/>
        <w:rPr>
          <w:sz w:val="20"/>
          <w:lang w:val="en"/>
        </w:rPr>
      </w:pPr>
      <w:r w:rsidRPr="009669A6">
        <w:rPr>
          <w:sz w:val="20"/>
          <w:lang w:val="en"/>
        </w:rPr>
        <w:t>Nineteenth Century Architecture: Read Chapter 11, pp.430-485</w:t>
      </w:r>
    </w:p>
    <w:p w:rsidR="00D842CF" w:rsidRPr="009669A6" w:rsidRDefault="00D842CF" w:rsidP="00D842CF">
      <w:pPr>
        <w:pStyle w:val="NoSpacing"/>
        <w:ind w:left="1440"/>
        <w:rPr>
          <w:sz w:val="20"/>
          <w:lang w:val="en"/>
        </w:rPr>
      </w:pPr>
      <w:r w:rsidRPr="009669A6">
        <w:rPr>
          <w:color w:val="A94442"/>
          <w:sz w:val="20"/>
          <w:lang w:val="en"/>
        </w:rPr>
        <w:t>EXAM 4</w:t>
      </w:r>
    </w:p>
    <w:p w:rsidR="00D842CF" w:rsidRPr="009669A6" w:rsidRDefault="00D842CF" w:rsidP="00D842CF">
      <w:pPr>
        <w:pStyle w:val="NoSpacing"/>
        <w:ind w:left="1440"/>
        <w:rPr>
          <w:sz w:val="20"/>
          <w:lang w:val="en"/>
        </w:rPr>
      </w:pPr>
      <w:r w:rsidRPr="009669A6">
        <w:rPr>
          <w:sz w:val="20"/>
          <w:lang w:val="en"/>
        </w:rPr>
        <w:t>Modern &amp; Post-Modern Architecture: Read Chapter 12 &amp; 13, pp. 486-580</w:t>
      </w:r>
    </w:p>
    <w:p w:rsidR="00D842CF" w:rsidRPr="009669A6" w:rsidRDefault="00D842CF" w:rsidP="00D842CF">
      <w:pPr>
        <w:pStyle w:val="NoSpacing"/>
        <w:ind w:left="1440"/>
        <w:rPr>
          <w:color w:val="A94442"/>
          <w:sz w:val="20"/>
          <w:lang w:val="en"/>
        </w:rPr>
      </w:pPr>
      <w:r w:rsidRPr="009669A6">
        <w:rPr>
          <w:color w:val="A94442"/>
          <w:sz w:val="20"/>
          <w:lang w:val="en"/>
        </w:rPr>
        <w:t>Comparative Analysis Term Paper Due</w:t>
      </w:r>
    </w:p>
    <w:p w:rsidR="00D74CD0" w:rsidRDefault="00D74CD0" w:rsidP="00D842CF">
      <w:pPr>
        <w:pStyle w:val="NoSpacing"/>
        <w:ind w:left="1440"/>
        <w:rPr>
          <w:color w:val="A94442"/>
          <w:lang w:val="en"/>
        </w:rPr>
      </w:pPr>
    </w:p>
    <w:p w:rsidR="009669A6" w:rsidRPr="009669A6" w:rsidRDefault="00D74CD0" w:rsidP="00BD291A">
      <w:pPr>
        <w:pStyle w:val="NoSpacing"/>
        <w:ind w:left="2160" w:hanging="2160"/>
        <w:rPr>
          <w:b/>
          <w:sz w:val="20"/>
        </w:rPr>
      </w:pPr>
      <w:r w:rsidRPr="009669A6">
        <w:rPr>
          <w:b/>
          <w:sz w:val="20"/>
        </w:rPr>
        <w:t>Attendance Policy</w:t>
      </w:r>
      <w:r w:rsidR="009669A6" w:rsidRPr="009669A6">
        <w:rPr>
          <w:b/>
          <w:sz w:val="20"/>
        </w:rPr>
        <w:t>:</w:t>
      </w:r>
    </w:p>
    <w:p w:rsidR="00D74CD0" w:rsidRDefault="00D74CD0" w:rsidP="009669A6">
      <w:pPr>
        <w:pStyle w:val="NoSpacing"/>
        <w:rPr>
          <w:sz w:val="20"/>
        </w:rPr>
      </w:pPr>
      <w:r w:rsidRPr="009669A6">
        <w:rPr>
          <w:color w:val="333333"/>
          <w:sz w:val="20"/>
        </w:rPr>
        <w:t>Students are encouraged to attend all lectures with the text b</w:t>
      </w:r>
      <w:r w:rsidR="00BD291A" w:rsidRPr="009669A6">
        <w:rPr>
          <w:color w:val="333333"/>
          <w:sz w:val="20"/>
        </w:rPr>
        <w:t>ook.</w:t>
      </w:r>
      <w:r w:rsidRPr="009669A6">
        <w:rPr>
          <w:color w:val="333333"/>
          <w:sz w:val="20"/>
        </w:rPr>
        <w:t xml:space="preserve"> Students must attend all exam sessions; make up exams will not be considered.  If there is a conflict with an exam date, students may request in advance an alternative date</w:t>
      </w:r>
      <w:r w:rsidRPr="009669A6">
        <w:rPr>
          <w:sz w:val="20"/>
        </w:rPr>
        <w:t>.</w:t>
      </w:r>
    </w:p>
    <w:p w:rsidR="00870004" w:rsidRPr="009669A6" w:rsidRDefault="00870004" w:rsidP="009669A6">
      <w:pPr>
        <w:pStyle w:val="NoSpacing"/>
        <w:rPr>
          <w:sz w:val="20"/>
        </w:rPr>
      </w:pPr>
    </w:p>
    <w:p w:rsidR="00BD291A" w:rsidRDefault="00BD291A" w:rsidP="00BD291A">
      <w:pPr>
        <w:rPr>
          <w:sz w:val="20"/>
        </w:rPr>
      </w:pPr>
      <w:r w:rsidRPr="009669A6">
        <w:rPr>
          <w:b/>
          <w:sz w:val="20"/>
        </w:rPr>
        <w:t>Religious Absences:</w:t>
      </w:r>
      <w:r w:rsidRPr="009669A6">
        <w:rPr>
          <w:b/>
          <w:sz w:val="20"/>
        </w:rPr>
        <w:br/>
      </w:r>
      <w:r w:rsidRPr="009669A6">
        <w:rPr>
          <w:sz w:val="20"/>
        </w:rPr>
        <w:t>If you are unable to attend class on certain days due to religious beliefs, please consult with your instructor well in advance of the absence so that appropriate accommodation can be made.</w:t>
      </w:r>
    </w:p>
    <w:p w:rsidR="00870004" w:rsidRPr="009669A6" w:rsidRDefault="00870004" w:rsidP="00BD291A">
      <w:pPr>
        <w:rPr>
          <w:b/>
          <w:sz w:val="20"/>
        </w:rPr>
      </w:pPr>
    </w:p>
    <w:p w:rsidR="00BD291A" w:rsidRDefault="00BD291A" w:rsidP="00BD291A">
      <w:pPr>
        <w:rPr>
          <w:sz w:val="20"/>
        </w:rPr>
      </w:pPr>
      <w:r w:rsidRPr="009669A6">
        <w:rPr>
          <w:b/>
          <w:sz w:val="20"/>
        </w:rPr>
        <w:t xml:space="preserve">Use of Email: </w:t>
      </w:r>
      <w:r w:rsidRPr="009669A6">
        <w:rPr>
          <w:b/>
          <w:sz w:val="20"/>
        </w:rPr>
        <w:br/>
      </w:r>
      <w:r w:rsidRPr="009669A6">
        <w:rPr>
          <w:sz w:val="20"/>
        </w:rPr>
        <w:t>It is College policy that instructors and students use the Farmingdale email system or the Blackboard email system to contact one another.</w:t>
      </w:r>
    </w:p>
    <w:p w:rsidR="00870004" w:rsidRPr="009669A6" w:rsidRDefault="00870004" w:rsidP="00BD291A">
      <w:pPr>
        <w:rPr>
          <w:b/>
          <w:sz w:val="20"/>
        </w:rPr>
      </w:pPr>
    </w:p>
    <w:p w:rsidR="00BD291A" w:rsidRDefault="00BD291A" w:rsidP="00BD291A">
      <w:pPr>
        <w:pStyle w:val="NormalWeb"/>
        <w:spacing w:before="0" w:beforeAutospacing="0" w:after="0"/>
        <w:rPr>
          <w:color w:val="000000"/>
          <w:sz w:val="20"/>
          <w:szCs w:val="20"/>
        </w:rPr>
      </w:pPr>
      <w:r w:rsidRPr="009669A6">
        <w:rPr>
          <w:b/>
          <w:sz w:val="20"/>
          <w:szCs w:val="20"/>
        </w:rPr>
        <w:t xml:space="preserve">Copyright Statement: </w:t>
      </w:r>
      <w:r w:rsidRPr="009669A6">
        <w:rPr>
          <w:b/>
          <w:sz w:val="20"/>
          <w:szCs w:val="20"/>
        </w:rPr>
        <w:br/>
      </w:r>
      <w:r w:rsidRPr="009669A6">
        <w:rPr>
          <w:color w:val="000000"/>
          <w:sz w:val="20"/>
          <w:szCs w:val="20"/>
        </w:rPr>
        <w:t>Course material accessed from Blackboard or the Farmingdale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SUNY copyright policy.</w:t>
      </w:r>
    </w:p>
    <w:p w:rsidR="00870004" w:rsidRPr="009669A6" w:rsidRDefault="00870004" w:rsidP="00BD291A">
      <w:pPr>
        <w:pStyle w:val="NormalWeb"/>
        <w:spacing w:before="0" w:beforeAutospacing="0" w:after="0"/>
        <w:rPr>
          <w:color w:val="000000"/>
          <w:sz w:val="20"/>
          <w:szCs w:val="20"/>
        </w:rPr>
      </w:pPr>
    </w:p>
    <w:p w:rsidR="00BD291A" w:rsidRPr="009669A6" w:rsidRDefault="00BD291A" w:rsidP="00BD291A">
      <w:pPr>
        <w:pStyle w:val="NormalWeb"/>
        <w:spacing w:before="0" w:beforeAutospacing="0" w:after="0"/>
        <w:rPr>
          <w:color w:val="000000"/>
          <w:sz w:val="20"/>
          <w:szCs w:val="20"/>
        </w:rPr>
      </w:pPr>
      <w:r w:rsidRPr="009669A6">
        <w:rPr>
          <w:b/>
          <w:bCs/>
          <w:color w:val="333333"/>
          <w:sz w:val="20"/>
          <w:szCs w:val="20"/>
        </w:rPr>
        <w:t xml:space="preserve">Disability Services Center: </w:t>
      </w:r>
    </w:p>
    <w:p w:rsidR="00BD291A" w:rsidRDefault="00BD291A" w:rsidP="00BD291A">
      <w:pPr>
        <w:rPr>
          <w:iCs/>
          <w:sz w:val="20"/>
        </w:rPr>
      </w:pPr>
      <w:r w:rsidRPr="009669A6">
        <w:rPr>
          <w:iCs/>
          <w:sz w:val="20"/>
        </w:rPr>
        <w:t>If you have a disability for which you are or may be requesting an accommodation, you are encouraged to contact both your instructor and the Disability Services Center, Roosevelt Hall, Room 151, or call 631-420-2411, or 420–2607 as soon as possible this semester.</w:t>
      </w:r>
    </w:p>
    <w:p w:rsidR="00870004" w:rsidRPr="009669A6" w:rsidRDefault="00870004" w:rsidP="00BD291A">
      <w:pPr>
        <w:rPr>
          <w:iCs/>
          <w:sz w:val="20"/>
        </w:rPr>
      </w:pPr>
    </w:p>
    <w:p w:rsidR="00BD291A" w:rsidRPr="009669A6" w:rsidRDefault="00BD291A" w:rsidP="00BD291A">
      <w:pPr>
        <w:pStyle w:val="Default"/>
        <w:rPr>
          <w:color w:val="323232"/>
          <w:sz w:val="20"/>
          <w:szCs w:val="20"/>
        </w:rPr>
      </w:pPr>
      <w:r w:rsidRPr="009669A6">
        <w:rPr>
          <w:b/>
          <w:bCs/>
          <w:color w:val="323232"/>
          <w:sz w:val="20"/>
          <w:szCs w:val="20"/>
        </w:rPr>
        <w:t xml:space="preserve">Academic Integrity Policy </w:t>
      </w:r>
    </w:p>
    <w:p w:rsidR="00BD291A" w:rsidRPr="009669A6" w:rsidRDefault="00BD291A" w:rsidP="00BD291A">
      <w:pPr>
        <w:pStyle w:val="Default"/>
        <w:rPr>
          <w:color w:val="323232"/>
          <w:sz w:val="20"/>
          <w:szCs w:val="20"/>
        </w:rPr>
      </w:pPr>
      <w:r w:rsidRPr="009669A6">
        <w:rPr>
          <w:color w:val="323232"/>
          <w:sz w:val="20"/>
          <w:szCs w:val="20"/>
        </w:rPr>
        <w:t>Because intellectual honesty is a cornerstone of all academic and scholarly work, each member of the Farmingdale State College campus community is expected to maintain academic integrity. Farmingdale State College has developed r</w:t>
      </w:r>
      <w:r w:rsidRPr="009669A6">
        <w:rPr>
          <w:sz w:val="20"/>
          <w:szCs w:val="20"/>
        </w:rPr>
        <w:t xml:space="preserve">egulations concerning academic dishonesty and integrity to protect all students and to maintain an ethical academic environment. </w:t>
      </w:r>
      <w:r w:rsidRPr="009669A6">
        <w:rPr>
          <w:color w:val="323232"/>
          <w:sz w:val="20"/>
          <w:szCs w:val="20"/>
        </w:rPr>
        <w:t xml:space="preserve">For more information, click the updated link for the </w:t>
      </w:r>
      <w:hyperlink r:id="rId6" w:history="1">
        <w:r w:rsidRPr="009669A6">
          <w:rPr>
            <w:rStyle w:val="Hyperlink"/>
            <w:sz w:val="20"/>
            <w:szCs w:val="20"/>
          </w:rPr>
          <w:t>Academic Integrity Policy</w:t>
        </w:r>
      </w:hyperlink>
      <w:r w:rsidRPr="009669A6">
        <w:rPr>
          <w:color w:val="323232"/>
          <w:sz w:val="20"/>
          <w:szCs w:val="20"/>
        </w:rPr>
        <w:t xml:space="preserve">. </w:t>
      </w:r>
    </w:p>
    <w:p w:rsidR="00BD291A" w:rsidRPr="009669A6" w:rsidRDefault="00BD291A" w:rsidP="00BD291A">
      <w:pPr>
        <w:pStyle w:val="Default"/>
        <w:rPr>
          <w:sz w:val="20"/>
          <w:szCs w:val="20"/>
        </w:rPr>
      </w:pPr>
    </w:p>
    <w:p w:rsidR="00BD291A" w:rsidRPr="009669A6" w:rsidRDefault="00BD291A" w:rsidP="00BD291A">
      <w:pPr>
        <w:pStyle w:val="Default"/>
        <w:rPr>
          <w:sz w:val="20"/>
          <w:szCs w:val="20"/>
        </w:rPr>
      </w:pPr>
      <w:r w:rsidRPr="009669A6">
        <w:rPr>
          <w:sz w:val="20"/>
          <w:szCs w:val="20"/>
        </w:rPr>
        <w:t>It is important for you to understand the concept of plagiarism. Plagiarism is intentionally representing the words, images or ideas of another as one’s own in any academic exercise. This includes words, images or ideas in either print or electronic format. </w:t>
      </w:r>
    </w:p>
    <w:p w:rsidR="009669A6" w:rsidRDefault="009669A6" w:rsidP="00BD291A">
      <w:pPr>
        <w:autoSpaceDE w:val="0"/>
        <w:autoSpaceDN w:val="0"/>
        <w:adjustRightInd w:val="0"/>
        <w:rPr>
          <w:b/>
          <w:sz w:val="20"/>
        </w:rPr>
      </w:pPr>
    </w:p>
    <w:p w:rsidR="00BD291A" w:rsidRDefault="00BD291A" w:rsidP="00BD291A">
      <w:pPr>
        <w:autoSpaceDE w:val="0"/>
        <w:autoSpaceDN w:val="0"/>
        <w:adjustRightInd w:val="0"/>
        <w:rPr>
          <w:sz w:val="20"/>
        </w:rPr>
      </w:pPr>
      <w:r w:rsidRPr="009669A6">
        <w:rPr>
          <w:b/>
          <w:sz w:val="20"/>
        </w:rPr>
        <w:t>Student Code of Conduct</w:t>
      </w:r>
      <w:r w:rsidRPr="009669A6">
        <w:rPr>
          <w:b/>
          <w:sz w:val="20"/>
        </w:rPr>
        <w:br/>
      </w:r>
      <w:r w:rsidRPr="009669A6">
        <w:rPr>
          <w:sz w:val="20"/>
        </w:rPr>
        <w:t xml:space="preserve">The President of the College and the Vice President for Student Affairs recognize the rights of designees including University Police, to enforce all regulations, policies, license agreements, laws and codes on campus. If any individual allegedly violates the laws, Student Code of Conduct or campus policies, a President’s designee will institute proceedings against the offender (s). For more information on the student code of conduct, see the Code of Conduct section in the current </w:t>
      </w:r>
      <w:hyperlink r:id="rId7" w:history="1">
        <w:r w:rsidRPr="009669A6">
          <w:rPr>
            <w:rStyle w:val="Hyperlink"/>
            <w:sz w:val="20"/>
          </w:rPr>
          <w:t xml:space="preserve">Student Handbook, </w:t>
        </w:r>
      </w:hyperlink>
      <w:r w:rsidRPr="009669A6">
        <w:rPr>
          <w:sz w:val="20"/>
        </w:rPr>
        <w:t xml:space="preserve">or choose Code of Conduct from the A-Z Links.  </w:t>
      </w:r>
    </w:p>
    <w:p w:rsidR="00870004" w:rsidRPr="009669A6" w:rsidRDefault="00870004" w:rsidP="00BD291A">
      <w:pPr>
        <w:autoSpaceDE w:val="0"/>
        <w:autoSpaceDN w:val="0"/>
        <w:adjustRightInd w:val="0"/>
        <w:rPr>
          <w:sz w:val="20"/>
        </w:rPr>
      </w:pPr>
    </w:p>
    <w:p w:rsidR="00BD291A" w:rsidRPr="009669A6" w:rsidRDefault="00BD291A" w:rsidP="00BD291A">
      <w:pPr>
        <w:autoSpaceDE w:val="0"/>
        <w:autoSpaceDN w:val="0"/>
        <w:adjustRightInd w:val="0"/>
        <w:rPr>
          <w:b/>
          <w:sz w:val="20"/>
        </w:rPr>
      </w:pPr>
      <w:r w:rsidRPr="009669A6">
        <w:rPr>
          <w:b/>
          <w:sz w:val="20"/>
        </w:rPr>
        <w:t>University Police</w:t>
      </w:r>
      <w:r w:rsidRPr="009669A6">
        <w:rPr>
          <w:b/>
          <w:sz w:val="20"/>
        </w:rPr>
        <w:br/>
      </w:r>
      <w:r w:rsidRPr="009669A6">
        <w:rPr>
          <w:sz w:val="20"/>
        </w:rPr>
        <w:t>631-420-2111</w:t>
      </w:r>
    </w:p>
    <w:p w:rsidR="00BD291A" w:rsidRPr="009669A6" w:rsidRDefault="00BD291A" w:rsidP="00BD291A">
      <w:pPr>
        <w:autoSpaceDE w:val="0"/>
        <w:autoSpaceDN w:val="0"/>
        <w:adjustRightInd w:val="0"/>
        <w:rPr>
          <w:sz w:val="20"/>
        </w:rPr>
      </w:pPr>
    </w:p>
    <w:p w:rsidR="00BD291A" w:rsidRPr="00D74CD0" w:rsidRDefault="00BD291A" w:rsidP="00BD291A">
      <w:pPr>
        <w:pStyle w:val="NoSpacing"/>
        <w:ind w:left="2160" w:hanging="2160"/>
        <w:rPr>
          <w:szCs w:val="24"/>
        </w:rPr>
      </w:pPr>
    </w:p>
    <w:sectPr w:rsidR="00BD291A" w:rsidRPr="00D7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CBE"/>
    <w:multiLevelType w:val="hybridMultilevel"/>
    <w:tmpl w:val="58786C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A562670"/>
    <w:multiLevelType w:val="hybridMultilevel"/>
    <w:tmpl w:val="9690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A04C1"/>
    <w:multiLevelType w:val="hybridMultilevel"/>
    <w:tmpl w:val="940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264A"/>
    <w:multiLevelType w:val="hybridMultilevel"/>
    <w:tmpl w:val="95DE119C"/>
    <w:lvl w:ilvl="0" w:tplc="51A6B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F7053"/>
    <w:multiLevelType w:val="hybridMultilevel"/>
    <w:tmpl w:val="F9503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507E10"/>
    <w:multiLevelType w:val="hybridMultilevel"/>
    <w:tmpl w:val="EF70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8672D"/>
    <w:multiLevelType w:val="hybridMultilevel"/>
    <w:tmpl w:val="EF4E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CF"/>
    <w:rsid w:val="002332EE"/>
    <w:rsid w:val="00275482"/>
    <w:rsid w:val="003546C4"/>
    <w:rsid w:val="004277C1"/>
    <w:rsid w:val="00464E22"/>
    <w:rsid w:val="0051603F"/>
    <w:rsid w:val="00630DAA"/>
    <w:rsid w:val="006F541A"/>
    <w:rsid w:val="00700705"/>
    <w:rsid w:val="0082482B"/>
    <w:rsid w:val="00870004"/>
    <w:rsid w:val="008C7B0C"/>
    <w:rsid w:val="008D611A"/>
    <w:rsid w:val="009669A6"/>
    <w:rsid w:val="009C2F4B"/>
    <w:rsid w:val="009E3D4E"/>
    <w:rsid w:val="00A11569"/>
    <w:rsid w:val="00A427B7"/>
    <w:rsid w:val="00AF0BE8"/>
    <w:rsid w:val="00BD291A"/>
    <w:rsid w:val="00CA6F79"/>
    <w:rsid w:val="00CE478C"/>
    <w:rsid w:val="00D04951"/>
    <w:rsid w:val="00D74CD0"/>
    <w:rsid w:val="00D842CF"/>
    <w:rsid w:val="00E142B1"/>
    <w:rsid w:val="00EF23FF"/>
    <w:rsid w:val="00F4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2332"/>
  <w15:chartTrackingRefBased/>
  <w15:docId w15:val="{6840D784-CD15-40FC-A032-1D4B6F86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2C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42CF"/>
    <w:pPr>
      <w:tabs>
        <w:tab w:val="center" w:pos="4320"/>
        <w:tab w:val="right" w:pos="8640"/>
      </w:tabs>
    </w:pPr>
  </w:style>
  <w:style w:type="character" w:customStyle="1" w:styleId="HeaderChar">
    <w:name w:val="Header Char"/>
    <w:basedOn w:val="DefaultParagraphFont"/>
    <w:link w:val="Header"/>
    <w:semiHidden/>
    <w:rsid w:val="00D842CF"/>
    <w:rPr>
      <w:rFonts w:ascii="Times New Roman" w:eastAsia="Times New Roman" w:hAnsi="Times New Roman" w:cs="Times New Roman"/>
      <w:sz w:val="24"/>
      <w:szCs w:val="20"/>
    </w:rPr>
  </w:style>
  <w:style w:type="paragraph" w:styleId="NoSpacing">
    <w:name w:val="No Spacing"/>
    <w:uiPriority w:val="1"/>
    <w:qFormat/>
    <w:rsid w:val="00D842CF"/>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842CF"/>
    <w:rPr>
      <w:b/>
      <w:bCs/>
      <w:strike w:val="0"/>
      <w:dstrike w:val="0"/>
      <w:color w:val="006456"/>
      <w:u w:val="none"/>
      <w:effect w:val="none"/>
      <w:shd w:val="clear" w:color="auto" w:fill="auto"/>
    </w:rPr>
  </w:style>
  <w:style w:type="paragraph" w:styleId="NormalWeb">
    <w:name w:val="Normal (Web)"/>
    <w:basedOn w:val="Normal"/>
    <w:uiPriority w:val="99"/>
    <w:unhideWhenUsed/>
    <w:rsid w:val="00D842CF"/>
    <w:pPr>
      <w:spacing w:before="100" w:beforeAutospacing="1" w:after="60"/>
    </w:pPr>
    <w:rPr>
      <w:szCs w:val="24"/>
    </w:rPr>
  </w:style>
  <w:style w:type="paragraph" w:styleId="ListParagraph">
    <w:name w:val="List Paragraph"/>
    <w:basedOn w:val="Normal"/>
    <w:uiPriority w:val="34"/>
    <w:qFormat/>
    <w:rsid w:val="00D842CF"/>
    <w:pPr>
      <w:ind w:left="720"/>
      <w:contextualSpacing/>
    </w:pPr>
  </w:style>
  <w:style w:type="character" w:styleId="UnresolvedMention">
    <w:name w:val="Unresolved Mention"/>
    <w:basedOn w:val="DefaultParagraphFont"/>
    <w:uiPriority w:val="99"/>
    <w:semiHidden/>
    <w:unhideWhenUsed/>
    <w:rsid w:val="00D842CF"/>
    <w:rPr>
      <w:color w:val="808080"/>
      <w:shd w:val="clear" w:color="auto" w:fill="E6E6E6"/>
    </w:rPr>
  </w:style>
  <w:style w:type="paragraph" w:customStyle="1" w:styleId="Default">
    <w:name w:val="Default"/>
    <w:rsid w:val="00BD29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0020spacing1">
    <w:name w:val="no_0020spacing1"/>
    <w:basedOn w:val="Normal"/>
    <w:rsid w:val="006F541A"/>
    <w:pPr>
      <w:spacing w:line="240" w:lineRule="atLeast"/>
    </w:pPr>
    <w:rPr>
      <w:rFonts w:ascii="Calibri" w:hAnsi="Calibri"/>
      <w:sz w:val="22"/>
      <w:szCs w:val="22"/>
    </w:rPr>
  </w:style>
  <w:style w:type="character" w:customStyle="1" w:styleId="no0020spacingchar1">
    <w:name w:val="no_0020spacing__char1"/>
    <w:basedOn w:val="DefaultParagraphFont"/>
    <w:rsid w:val="006F541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31651">
      <w:bodyDiv w:val="1"/>
      <w:marLeft w:val="0"/>
      <w:marRight w:val="0"/>
      <w:marTop w:val="0"/>
      <w:marBottom w:val="1050"/>
      <w:divBdr>
        <w:top w:val="none" w:sz="0" w:space="0" w:color="auto"/>
        <w:left w:val="none" w:sz="0" w:space="0" w:color="auto"/>
        <w:bottom w:val="none" w:sz="0" w:space="0" w:color="auto"/>
        <w:right w:val="none" w:sz="0" w:space="0" w:color="auto"/>
      </w:divBdr>
      <w:divsChild>
        <w:div w:id="129368736">
          <w:marLeft w:val="0"/>
          <w:marRight w:val="0"/>
          <w:marTop w:val="0"/>
          <w:marBottom w:val="0"/>
          <w:divBdr>
            <w:top w:val="none" w:sz="0" w:space="0" w:color="auto"/>
            <w:left w:val="none" w:sz="0" w:space="0" w:color="auto"/>
            <w:bottom w:val="none" w:sz="0" w:space="0" w:color="auto"/>
            <w:right w:val="none" w:sz="0" w:space="0" w:color="auto"/>
          </w:divBdr>
          <w:divsChild>
            <w:div w:id="603923035">
              <w:marLeft w:val="0"/>
              <w:marRight w:val="0"/>
              <w:marTop w:val="0"/>
              <w:marBottom w:val="0"/>
              <w:divBdr>
                <w:top w:val="none" w:sz="0" w:space="0" w:color="auto"/>
                <w:left w:val="none" w:sz="0" w:space="0" w:color="auto"/>
                <w:bottom w:val="none" w:sz="0" w:space="0" w:color="auto"/>
                <w:right w:val="none" w:sz="0" w:space="0" w:color="auto"/>
              </w:divBdr>
              <w:divsChild>
                <w:div w:id="1510482824">
                  <w:marLeft w:val="-150"/>
                  <w:marRight w:val="-150"/>
                  <w:marTop w:val="0"/>
                  <w:marBottom w:val="0"/>
                  <w:divBdr>
                    <w:top w:val="none" w:sz="0" w:space="0" w:color="auto"/>
                    <w:left w:val="none" w:sz="0" w:space="0" w:color="auto"/>
                    <w:bottom w:val="none" w:sz="0" w:space="0" w:color="auto"/>
                    <w:right w:val="none" w:sz="0" w:space="0" w:color="auto"/>
                  </w:divBdr>
                  <w:divsChild>
                    <w:div w:id="862717484">
                      <w:marLeft w:val="0"/>
                      <w:marRight w:val="0"/>
                      <w:marTop w:val="0"/>
                      <w:marBottom w:val="0"/>
                      <w:divBdr>
                        <w:top w:val="none" w:sz="0" w:space="0" w:color="auto"/>
                        <w:left w:val="none" w:sz="0" w:space="0" w:color="auto"/>
                        <w:bottom w:val="none" w:sz="0" w:space="0" w:color="auto"/>
                        <w:right w:val="none" w:sz="0" w:space="0" w:color="auto"/>
                      </w:divBdr>
                      <w:divsChild>
                        <w:div w:id="1701860002">
                          <w:marLeft w:val="0"/>
                          <w:marRight w:val="0"/>
                          <w:marTop w:val="0"/>
                          <w:marBottom w:val="0"/>
                          <w:divBdr>
                            <w:top w:val="none" w:sz="0" w:space="0" w:color="auto"/>
                            <w:left w:val="none" w:sz="0" w:space="0" w:color="auto"/>
                            <w:bottom w:val="none" w:sz="0" w:space="0" w:color="auto"/>
                            <w:right w:val="none" w:sz="0" w:space="0" w:color="auto"/>
                          </w:divBdr>
                          <w:divsChild>
                            <w:div w:id="1614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620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mingdale.edu/campus-life/dean/student-handboo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ingdale.edu/academics/pdf/acad_integrity_policy_0517.pdf" TargetMode="External"/><Relationship Id="rId5" Type="http://schemas.openxmlformats.org/officeDocument/2006/relationships/hyperlink" Target="http://system.suny.edu/academic-affairs/acaproplan/general-education/general-education-dashbo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Betz</dc:creator>
  <cp:keywords/>
  <dc:description/>
  <cp:lastModifiedBy>Joseph Betz</cp:lastModifiedBy>
  <cp:revision>19</cp:revision>
  <dcterms:created xsi:type="dcterms:W3CDTF">2017-11-01T14:22:00Z</dcterms:created>
  <dcterms:modified xsi:type="dcterms:W3CDTF">2017-12-06T15:11:00Z</dcterms:modified>
</cp:coreProperties>
</file>